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8F" w:rsidRPr="00C1488F" w:rsidRDefault="00C1488F" w:rsidP="00C1488F">
      <w:pPr>
        <w:tabs>
          <w:tab w:val="left" w:pos="7605"/>
        </w:tabs>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b/>
          <w:szCs w:val="20"/>
          <w:lang w:eastAsia="fr-FR"/>
        </w:rPr>
      </w:pPr>
      <w:r w:rsidRPr="00BF6379">
        <w:rPr>
          <w:rFonts w:ascii="Times New Roman" w:eastAsia="Times New Roman" w:hAnsi="Times New Roman" w:cs="Times New Roman"/>
          <w:szCs w:val="20"/>
          <w:lang w:eastAsia="fr-FR"/>
        </w:rPr>
        <w:tab/>
      </w:r>
    </w:p>
    <w:p w:rsidR="00C1488F" w:rsidRPr="00C1488F" w:rsidRDefault="00C1488F" w:rsidP="00C1488F">
      <w:pPr>
        <w:tabs>
          <w:tab w:val="left" w:pos="7605"/>
        </w:tabs>
        <w:overflowPunct w:val="0"/>
        <w:autoSpaceDE w:val="0"/>
        <w:autoSpaceDN w:val="0"/>
        <w:adjustRightInd w:val="0"/>
        <w:spacing w:after="0" w:line="240" w:lineRule="auto"/>
        <w:ind w:left="709" w:right="43" w:hanging="1"/>
        <w:jc w:val="center"/>
        <w:textAlignment w:val="baseline"/>
        <w:rPr>
          <w:rFonts w:ascii="Times New Roman" w:eastAsia="Times New Roman" w:hAnsi="Times New Roman" w:cs="Times New Roman"/>
          <w:b/>
          <w:i/>
          <w:szCs w:val="20"/>
          <w:lang w:eastAsia="fr-FR"/>
        </w:rPr>
      </w:pPr>
      <w:r w:rsidRPr="00C1488F">
        <w:rPr>
          <w:rFonts w:ascii="Times New Roman" w:eastAsia="Times New Roman" w:hAnsi="Times New Roman" w:cs="Times New Roman"/>
          <w:b/>
          <w:i/>
          <w:szCs w:val="20"/>
          <w:lang w:eastAsia="fr-FR"/>
        </w:rPr>
        <w:t>Compte rendu du conseil municipal du 10 décembre 2014</w:t>
      </w:r>
    </w:p>
    <w:p w:rsidR="00C1488F" w:rsidRDefault="00C1488F" w:rsidP="00C1488F">
      <w:pPr>
        <w:tabs>
          <w:tab w:val="left" w:pos="7605"/>
        </w:tabs>
        <w:overflowPunct w:val="0"/>
        <w:autoSpaceDE w:val="0"/>
        <w:autoSpaceDN w:val="0"/>
        <w:adjustRightInd w:val="0"/>
        <w:spacing w:after="0" w:line="240" w:lineRule="auto"/>
        <w:ind w:left="709" w:right="43" w:hanging="1"/>
        <w:jc w:val="center"/>
        <w:textAlignment w:val="baseline"/>
        <w:rPr>
          <w:rFonts w:ascii="Times New Roman" w:eastAsia="Times New Roman" w:hAnsi="Times New Roman" w:cs="Times New Roman"/>
          <w:i/>
          <w:szCs w:val="20"/>
          <w:lang w:eastAsia="fr-FR"/>
        </w:rPr>
      </w:pPr>
    </w:p>
    <w:p w:rsidR="00C1488F" w:rsidRPr="00BF6379" w:rsidRDefault="00C1488F" w:rsidP="00C1488F">
      <w:pPr>
        <w:tabs>
          <w:tab w:val="left" w:pos="7605"/>
        </w:tabs>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Cs w:val="20"/>
          <w:lang w:eastAsia="fr-FR"/>
        </w:rPr>
      </w:pPr>
    </w:p>
    <w:p w:rsidR="00C1488F" w:rsidRDefault="00C1488F" w:rsidP="00C1488F">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r w:rsidRPr="00BF6379">
        <w:rPr>
          <w:rFonts w:ascii="Times New Roman" w:eastAsia="Times New Roman" w:hAnsi="Times New Roman" w:cs="Times New Roman"/>
          <w:sz w:val="24"/>
          <w:szCs w:val="20"/>
          <w:u w:val="single"/>
          <w:lang w:eastAsia="fr-FR"/>
        </w:rPr>
        <w:t>PRESENTS</w:t>
      </w:r>
      <w:r w:rsidRPr="00BF6379">
        <w:rPr>
          <w:rFonts w:ascii="Times New Roman" w:eastAsia="Times New Roman" w:hAnsi="Times New Roman" w:cs="Times New Roman"/>
          <w:sz w:val="24"/>
          <w:szCs w:val="20"/>
          <w:lang w:eastAsia="fr-FR"/>
        </w:rPr>
        <w:t xml:space="preserve"> : </w:t>
      </w:r>
      <w:r>
        <w:rPr>
          <w:rFonts w:ascii="Times New Roman" w:eastAsia="Times New Roman" w:hAnsi="Times New Roman" w:cs="Times New Roman"/>
          <w:sz w:val="24"/>
          <w:szCs w:val="20"/>
          <w:lang w:eastAsia="fr-FR"/>
        </w:rPr>
        <w:t>M.H LE BIHAN, M. LE MADEC, P. BARON, C. LE MOROUX, M. NORAS, L. RAOUL, C. FRATACCI, M. GALGUEN, C. TANNOU, G. CHRISTIEN, S. LE MAT, C. PENFORNIS, J. RIVOAL, D. KIEFFER.</w:t>
      </w:r>
    </w:p>
    <w:p w:rsidR="00C1488F" w:rsidRDefault="00C1488F" w:rsidP="00C1488F">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p>
    <w:p w:rsidR="00C1488F" w:rsidRDefault="00C1488F" w:rsidP="00C1488F">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r w:rsidRPr="00AD64D7">
        <w:rPr>
          <w:rFonts w:ascii="Times New Roman" w:eastAsia="Times New Roman" w:hAnsi="Times New Roman" w:cs="Times New Roman"/>
          <w:sz w:val="24"/>
          <w:szCs w:val="20"/>
          <w:u w:val="single"/>
          <w:lang w:eastAsia="fr-FR"/>
        </w:rPr>
        <w:t>EXCUSE</w:t>
      </w:r>
      <w:r>
        <w:rPr>
          <w:rFonts w:ascii="Times New Roman" w:eastAsia="Times New Roman" w:hAnsi="Times New Roman" w:cs="Times New Roman"/>
          <w:sz w:val="24"/>
          <w:szCs w:val="20"/>
          <w:u w:val="single"/>
          <w:lang w:eastAsia="fr-FR"/>
        </w:rPr>
        <w:t>E</w:t>
      </w:r>
      <w:r>
        <w:rPr>
          <w:rFonts w:ascii="Times New Roman" w:eastAsia="Times New Roman" w:hAnsi="Times New Roman" w:cs="Times New Roman"/>
          <w:sz w:val="24"/>
          <w:szCs w:val="20"/>
          <w:lang w:eastAsia="fr-FR"/>
        </w:rPr>
        <w:t> : K. DAUCE (pouvoir à M. LE MADEC)</w:t>
      </w:r>
    </w:p>
    <w:p w:rsidR="00C1488F" w:rsidRDefault="00C1488F" w:rsidP="00C1488F">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p>
    <w:p w:rsidR="00C1488F" w:rsidRPr="00BF6379" w:rsidRDefault="00C1488F" w:rsidP="00C1488F">
      <w:pPr>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r w:rsidRPr="00BF6379">
        <w:rPr>
          <w:rFonts w:ascii="Times New Roman" w:eastAsia="Times New Roman" w:hAnsi="Times New Roman" w:cs="Times New Roman"/>
          <w:sz w:val="24"/>
          <w:szCs w:val="20"/>
          <w:u w:val="single"/>
          <w:lang w:eastAsia="fr-FR"/>
        </w:rPr>
        <w:t>SECRETAIRE DE SEANCE</w:t>
      </w:r>
      <w:r>
        <w:rPr>
          <w:rFonts w:ascii="Times New Roman" w:eastAsia="Times New Roman" w:hAnsi="Times New Roman" w:cs="Times New Roman"/>
          <w:sz w:val="24"/>
          <w:szCs w:val="20"/>
          <w:lang w:eastAsia="fr-FR"/>
        </w:rPr>
        <w:t> : S. LE MAT</w:t>
      </w:r>
    </w:p>
    <w:p w:rsidR="00C1488F" w:rsidRDefault="00C1488F" w:rsidP="00430E4A">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p>
    <w:p w:rsidR="00C1488F" w:rsidRDefault="00C1488F" w:rsidP="00C1488F">
      <w:pPr>
        <w:overflowPunct w:val="0"/>
        <w:autoSpaceDE w:val="0"/>
        <w:autoSpaceDN w:val="0"/>
        <w:adjustRightInd w:val="0"/>
        <w:spacing w:after="0" w:line="240" w:lineRule="auto"/>
        <w:ind w:left="720" w:right="43"/>
        <w:textAlignment w:val="baseline"/>
        <w:rPr>
          <w:rFonts w:ascii="Times New Roman" w:eastAsia="Times New Roman" w:hAnsi="Times New Roman" w:cs="Times New Roman"/>
          <w:sz w:val="24"/>
          <w:szCs w:val="20"/>
          <w:lang w:eastAsia="fr-FR"/>
        </w:rPr>
      </w:pPr>
    </w:p>
    <w:p w:rsidR="00430E4A" w:rsidRPr="00C1488F" w:rsidRDefault="00C1488F" w:rsidP="00C1488F">
      <w:pPr>
        <w:overflowPunct w:val="0"/>
        <w:autoSpaceDE w:val="0"/>
        <w:autoSpaceDN w:val="0"/>
        <w:adjustRightInd w:val="0"/>
        <w:spacing w:after="0" w:line="240" w:lineRule="auto"/>
        <w:ind w:left="720" w:right="43"/>
        <w:textAlignment w:val="baseline"/>
        <w:rPr>
          <w:rFonts w:ascii="Times New Roman" w:eastAsia="Times New Roman" w:hAnsi="Times New Roman" w:cs="Times New Roman"/>
          <w:b/>
          <w:i/>
          <w:sz w:val="24"/>
          <w:szCs w:val="20"/>
          <w:lang w:eastAsia="fr-FR"/>
        </w:rPr>
      </w:pPr>
      <w:r w:rsidRPr="00C1488F">
        <w:rPr>
          <w:rFonts w:ascii="Times New Roman" w:eastAsia="Times New Roman" w:hAnsi="Times New Roman" w:cs="Times New Roman"/>
          <w:b/>
          <w:i/>
          <w:sz w:val="24"/>
          <w:szCs w:val="20"/>
          <w:lang w:eastAsia="fr-FR"/>
        </w:rPr>
        <w:t xml:space="preserve">1) </w:t>
      </w:r>
      <w:r w:rsidRPr="00C1488F">
        <w:rPr>
          <w:rFonts w:ascii="Times New Roman" w:eastAsia="Times New Roman" w:hAnsi="Times New Roman" w:cs="Times New Roman"/>
          <w:b/>
          <w:i/>
          <w:sz w:val="24"/>
          <w:szCs w:val="20"/>
          <w:u w:val="single"/>
          <w:lang w:eastAsia="fr-FR"/>
        </w:rPr>
        <w:t>Programme de voirie 2015</w:t>
      </w:r>
    </w:p>
    <w:p w:rsidR="00C1488F" w:rsidRPr="00B66282" w:rsidRDefault="00C1488F" w:rsidP="00C1488F">
      <w:pPr>
        <w:overflowPunct w:val="0"/>
        <w:autoSpaceDE w:val="0"/>
        <w:autoSpaceDN w:val="0"/>
        <w:adjustRightInd w:val="0"/>
        <w:spacing w:after="0" w:line="240" w:lineRule="auto"/>
        <w:ind w:left="720" w:right="43"/>
        <w:textAlignment w:val="baseline"/>
        <w:rPr>
          <w:rFonts w:ascii="Times New Roman" w:eastAsia="Times New Roman" w:hAnsi="Times New Roman" w:cs="Times New Roman"/>
          <w:sz w:val="24"/>
          <w:szCs w:val="20"/>
          <w:lang w:eastAsia="fr-FR"/>
        </w:rPr>
      </w:pPr>
    </w:p>
    <w:p w:rsidR="00430E4A" w:rsidRPr="00B66282"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B66282">
        <w:rPr>
          <w:rFonts w:ascii="Times New Roman" w:eastAsia="Times New Roman" w:hAnsi="Times New Roman" w:cs="Times New Roman"/>
          <w:sz w:val="24"/>
          <w:szCs w:val="20"/>
          <w:lang w:eastAsia="fr-FR"/>
        </w:rPr>
        <w:tab/>
      </w:r>
      <w:r w:rsidRPr="00B66282">
        <w:rPr>
          <w:rFonts w:ascii="Times New Roman" w:eastAsia="Times New Roman" w:hAnsi="Times New Roman" w:cs="Times New Roman"/>
          <w:lang w:eastAsia="fr-FR"/>
        </w:rPr>
        <w:t>Le Maire donne connaissance à l’assemblée du devis établi par les services de</w:t>
      </w:r>
      <w:r>
        <w:rPr>
          <w:rFonts w:ascii="Times New Roman" w:eastAsia="Times New Roman" w:hAnsi="Times New Roman" w:cs="Times New Roman"/>
          <w:lang w:eastAsia="fr-FR"/>
        </w:rPr>
        <w:t xml:space="preserve"> l’A.D.A.C de Saint Brieuc </w:t>
      </w:r>
      <w:r w:rsidRPr="00B66282">
        <w:rPr>
          <w:rFonts w:ascii="Times New Roman" w:eastAsia="Times New Roman" w:hAnsi="Times New Roman" w:cs="Times New Roman"/>
          <w:lang w:eastAsia="fr-FR"/>
        </w:rPr>
        <w:t>au t</w:t>
      </w:r>
      <w:r>
        <w:rPr>
          <w:rFonts w:ascii="Times New Roman" w:eastAsia="Times New Roman" w:hAnsi="Times New Roman" w:cs="Times New Roman"/>
          <w:lang w:eastAsia="fr-FR"/>
        </w:rPr>
        <w:t>itre du programme de voirie 2015</w:t>
      </w:r>
      <w:r w:rsidRPr="00B66282">
        <w:rPr>
          <w:rFonts w:ascii="Times New Roman" w:eastAsia="Times New Roman" w:hAnsi="Times New Roman" w:cs="Times New Roman"/>
          <w:lang w:eastAsia="fr-FR"/>
        </w:rPr>
        <w:t xml:space="preserve"> et donne le compte rendu des travaux de la commission voirie.</w:t>
      </w:r>
    </w:p>
    <w:p w:rsidR="00430E4A" w:rsidRPr="00B66282"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p>
    <w:p w:rsidR="00430E4A" w:rsidRPr="00B66282"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B66282">
        <w:rPr>
          <w:rFonts w:ascii="Times New Roman" w:eastAsia="Times New Roman" w:hAnsi="Times New Roman" w:cs="Times New Roman"/>
          <w:lang w:eastAsia="fr-FR"/>
        </w:rPr>
        <w:tab/>
        <w:t>Le conseil municipal, après en avoir délibéré,</w:t>
      </w:r>
    </w:p>
    <w:p w:rsidR="00430E4A" w:rsidRPr="00B66282"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B66282">
        <w:rPr>
          <w:rFonts w:ascii="Times New Roman" w:eastAsia="Times New Roman" w:hAnsi="Times New Roman" w:cs="Times New Roman"/>
          <w:lang w:eastAsia="fr-FR"/>
        </w:rPr>
        <w:tab/>
        <w:t xml:space="preserve">Décide, à l’unanimité de programmer </w:t>
      </w:r>
    </w:p>
    <w:p w:rsidR="00430E4A" w:rsidRPr="00B66282"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sym w:font="Wingdings" w:char="F0C4"/>
      </w:r>
      <w:proofErr w:type="gramStart"/>
      <w:r w:rsidRPr="00B66282">
        <w:rPr>
          <w:rFonts w:ascii="Times New Roman" w:eastAsia="Times New Roman" w:hAnsi="Times New Roman" w:cs="Times New Roman"/>
          <w:lang w:eastAsia="fr-FR"/>
        </w:rPr>
        <w:t>en</w:t>
      </w:r>
      <w:proofErr w:type="gramEnd"/>
      <w:r w:rsidRPr="00B66282">
        <w:rPr>
          <w:rFonts w:ascii="Times New Roman" w:eastAsia="Times New Roman" w:hAnsi="Times New Roman" w:cs="Times New Roman"/>
          <w:lang w:eastAsia="fr-FR"/>
        </w:rPr>
        <w:t xml:space="preserve"> tranche ferme, les travaux sur : </w:t>
      </w:r>
    </w:p>
    <w:p w:rsidR="00430E4A" w:rsidRPr="00B66282"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B66282">
        <w:rPr>
          <w:rFonts w:ascii="Times New Roman" w:eastAsia="Times New Roman" w:hAnsi="Times New Roman" w:cs="Times New Roman"/>
          <w:lang w:eastAsia="fr-FR"/>
        </w:rPr>
        <w:tab/>
      </w:r>
      <w:r>
        <w:rPr>
          <w:rFonts w:ascii="Times New Roman" w:eastAsia="Times New Roman" w:hAnsi="Times New Roman" w:cs="Times New Roman"/>
          <w:lang w:eastAsia="fr-FR"/>
        </w:rPr>
        <w:t xml:space="preserve">- La VC n°3 de </w:t>
      </w:r>
      <w:proofErr w:type="spellStart"/>
      <w:r>
        <w:rPr>
          <w:rFonts w:ascii="Times New Roman" w:eastAsia="Times New Roman" w:hAnsi="Times New Roman" w:cs="Times New Roman"/>
          <w:lang w:eastAsia="fr-FR"/>
        </w:rPr>
        <w:t>Sibinel</w:t>
      </w:r>
      <w:proofErr w:type="spellEnd"/>
      <w:r>
        <w:rPr>
          <w:rFonts w:ascii="Times New Roman" w:eastAsia="Times New Roman" w:hAnsi="Times New Roman" w:cs="Times New Roman"/>
          <w:lang w:eastAsia="fr-FR"/>
        </w:rPr>
        <w:t xml:space="preserve">  pour 15.470</w:t>
      </w:r>
      <w:r w:rsidRPr="00B66282">
        <w:rPr>
          <w:rFonts w:ascii="Times New Roman" w:eastAsia="Times New Roman" w:hAnsi="Times New Roman" w:cs="Times New Roman"/>
          <w:lang w:eastAsia="fr-FR"/>
        </w:rPr>
        <w:t xml:space="preserve">€ H.T réfection de la chaussée </w:t>
      </w:r>
      <w:r>
        <w:rPr>
          <w:rFonts w:ascii="Times New Roman" w:eastAsia="Times New Roman" w:hAnsi="Times New Roman" w:cs="Times New Roman"/>
          <w:lang w:eastAsia="fr-FR"/>
        </w:rPr>
        <w:t>en revêtement BBSG 0/10</w:t>
      </w: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B66282">
        <w:rPr>
          <w:rFonts w:ascii="Times New Roman" w:eastAsia="Times New Roman" w:hAnsi="Times New Roman" w:cs="Times New Roman"/>
          <w:lang w:eastAsia="fr-FR"/>
        </w:rPr>
        <w:tab/>
      </w:r>
      <w:r>
        <w:rPr>
          <w:rFonts w:ascii="Times New Roman" w:eastAsia="Times New Roman" w:hAnsi="Times New Roman" w:cs="Times New Roman"/>
          <w:lang w:eastAsia="fr-FR"/>
        </w:rPr>
        <w:t>- Sur diverses voies de la commune du Point à Temps pour 6.040€ H.T</w:t>
      </w: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sym w:font="Wingdings" w:char="F0C4"/>
      </w:r>
      <w:proofErr w:type="gramStart"/>
      <w:r>
        <w:rPr>
          <w:rFonts w:ascii="Times New Roman" w:eastAsia="Times New Roman" w:hAnsi="Times New Roman" w:cs="Times New Roman"/>
          <w:lang w:eastAsia="fr-FR"/>
        </w:rPr>
        <w:t>en</w:t>
      </w:r>
      <w:proofErr w:type="gramEnd"/>
      <w:r>
        <w:rPr>
          <w:rFonts w:ascii="Times New Roman" w:eastAsia="Times New Roman" w:hAnsi="Times New Roman" w:cs="Times New Roman"/>
          <w:lang w:eastAsia="fr-FR"/>
        </w:rPr>
        <w:t xml:space="preserve"> tranche conditionnelle, les travaux sur :</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sidRPr="004A4C31">
        <w:rPr>
          <w:rFonts w:ascii="Times New Roman" w:eastAsia="Times New Roman" w:hAnsi="Times New Roman" w:cs="Times New Roman"/>
          <w:lang w:eastAsia="fr-FR"/>
        </w:rPr>
        <w:t>Trottoirs le long de la RD 2161 (côté gauche) pour 8.650€ HT.</w:t>
      </w:r>
    </w:p>
    <w:p w:rsidR="00430E4A" w:rsidRPr="004A4C31" w:rsidRDefault="00430E4A" w:rsidP="00430E4A">
      <w:pPr>
        <w:pStyle w:val="Paragraphedeliste"/>
        <w:overflowPunct w:val="0"/>
        <w:autoSpaceDE w:val="0"/>
        <w:autoSpaceDN w:val="0"/>
        <w:adjustRightInd w:val="0"/>
        <w:spacing w:after="0" w:line="240" w:lineRule="auto"/>
        <w:ind w:left="1770" w:right="43"/>
        <w:jc w:val="both"/>
        <w:textAlignment w:val="baseline"/>
        <w:rPr>
          <w:rFonts w:ascii="Times New Roman" w:eastAsia="Times New Roman" w:hAnsi="Times New Roman" w:cs="Times New Roman"/>
          <w:lang w:eastAsia="fr-FR"/>
        </w:rPr>
      </w:pP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Soit un total</w:t>
      </w:r>
      <w:r w:rsidRPr="00B66282">
        <w:rPr>
          <w:rFonts w:ascii="Times New Roman" w:eastAsia="Times New Roman" w:hAnsi="Times New Roman" w:cs="Times New Roman"/>
          <w:lang w:eastAsia="fr-FR"/>
        </w:rPr>
        <w:t xml:space="preserve"> de </w:t>
      </w:r>
      <w:r>
        <w:rPr>
          <w:rFonts w:ascii="Times New Roman" w:eastAsia="Times New Roman" w:hAnsi="Times New Roman" w:cs="Times New Roman"/>
          <w:lang w:eastAsia="fr-FR"/>
        </w:rPr>
        <w:t>21.510</w:t>
      </w:r>
      <w:r w:rsidRPr="00B66282">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H.T et 25.812</w:t>
      </w:r>
      <w:r w:rsidRPr="00B66282">
        <w:rPr>
          <w:rFonts w:ascii="Times New Roman" w:eastAsia="Times New Roman" w:hAnsi="Times New Roman" w:cs="Times New Roman"/>
          <w:lang w:eastAsia="fr-FR"/>
        </w:rPr>
        <w:t xml:space="preserve"> € TTC pour la tranche ferme</w:t>
      </w:r>
    </w:p>
    <w:p w:rsidR="00430E4A" w:rsidRPr="00B66282"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Et 8.650€ H.T – 10.380€ TTC pour la tranche conditionnelle.</w:t>
      </w:r>
    </w:p>
    <w:p w:rsidR="00430E4A" w:rsidRPr="00B66282"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B66282">
        <w:rPr>
          <w:rFonts w:ascii="Times New Roman" w:eastAsia="Times New Roman" w:hAnsi="Times New Roman" w:cs="Times New Roman"/>
          <w:lang w:eastAsia="fr-FR"/>
        </w:rPr>
        <w:tab/>
      </w:r>
      <w:r w:rsidRPr="00B66282">
        <w:rPr>
          <w:rFonts w:ascii="Times New Roman" w:eastAsia="Times New Roman" w:hAnsi="Times New Roman" w:cs="Times New Roman"/>
          <w:lang w:eastAsia="fr-FR"/>
        </w:rPr>
        <w:tab/>
      </w:r>
    </w:p>
    <w:p w:rsidR="00430E4A" w:rsidRPr="00B66282"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B66282">
        <w:rPr>
          <w:rFonts w:ascii="Times New Roman" w:eastAsia="Times New Roman" w:hAnsi="Times New Roman" w:cs="Times New Roman"/>
          <w:lang w:eastAsia="fr-FR"/>
        </w:rPr>
        <w:tab/>
        <w:t>Autorise le maire à engager la consultation dans le cadre du groupement de commandes approuvé par délibér</w:t>
      </w:r>
      <w:r>
        <w:rPr>
          <w:rFonts w:ascii="Times New Roman" w:eastAsia="Times New Roman" w:hAnsi="Times New Roman" w:cs="Times New Roman"/>
          <w:lang w:eastAsia="fr-FR"/>
        </w:rPr>
        <w:t>ation en date du 12 novembre 2014</w:t>
      </w:r>
      <w:r w:rsidRPr="00B66282">
        <w:rPr>
          <w:rFonts w:ascii="Times New Roman" w:eastAsia="Times New Roman" w:hAnsi="Times New Roman" w:cs="Times New Roman"/>
          <w:lang w:eastAsia="fr-FR"/>
        </w:rPr>
        <w:t>.</w:t>
      </w:r>
    </w:p>
    <w:p w:rsidR="00430E4A" w:rsidRPr="00B66282" w:rsidRDefault="00430E4A" w:rsidP="00430E4A">
      <w:pPr>
        <w:overflowPunct w:val="0"/>
        <w:autoSpaceDE w:val="0"/>
        <w:autoSpaceDN w:val="0"/>
        <w:adjustRightInd w:val="0"/>
        <w:spacing w:after="0" w:line="240" w:lineRule="auto"/>
        <w:ind w:left="720" w:right="43" w:firstLine="1440"/>
        <w:jc w:val="both"/>
        <w:textAlignment w:val="baseline"/>
        <w:rPr>
          <w:rFonts w:ascii="Times New Roman" w:eastAsia="Times New Roman" w:hAnsi="Times New Roman" w:cs="Times New Roman"/>
          <w:lang w:eastAsia="fr-FR"/>
        </w:rPr>
      </w:pPr>
    </w:p>
    <w:p w:rsidR="00430E4A" w:rsidRPr="00BF6379" w:rsidRDefault="00430E4A" w:rsidP="00430E4A">
      <w:pPr>
        <w:overflowPunct w:val="0"/>
        <w:autoSpaceDE w:val="0"/>
        <w:autoSpaceDN w:val="0"/>
        <w:adjustRightInd w:val="0"/>
        <w:spacing w:after="0" w:line="240" w:lineRule="auto"/>
        <w:ind w:left="709" w:right="43" w:firstLine="707"/>
        <w:jc w:val="both"/>
        <w:textAlignment w:val="baseline"/>
        <w:rPr>
          <w:rFonts w:ascii="Times New Roman" w:eastAsia="Times New Roman" w:hAnsi="Times New Roman" w:cs="Times New Roman"/>
          <w:sz w:val="24"/>
          <w:szCs w:val="24"/>
          <w:lang w:eastAsia="fr-FR"/>
        </w:rPr>
      </w:pPr>
      <w:r w:rsidRPr="00BF6379">
        <w:rPr>
          <w:rFonts w:ascii="Times New Roman" w:eastAsia="Times New Roman" w:hAnsi="Times New Roman" w:cs="Times New Roman"/>
          <w:sz w:val="24"/>
          <w:szCs w:val="24"/>
          <w:lang w:eastAsia="fr-FR"/>
        </w:rPr>
        <w:t xml:space="preserve">L'an deux </w:t>
      </w:r>
      <w:r>
        <w:rPr>
          <w:rFonts w:ascii="Times New Roman" w:eastAsia="Times New Roman" w:hAnsi="Times New Roman" w:cs="Times New Roman"/>
          <w:sz w:val="24"/>
          <w:szCs w:val="24"/>
          <w:lang w:eastAsia="fr-FR"/>
        </w:rPr>
        <w:t xml:space="preserve">mille quatorze, le dix décembre </w:t>
      </w:r>
      <w:r w:rsidRPr="00BF6379">
        <w:rPr>
          <w:rFonts w:ascii="Times New Roman" w:eastAsia="Times New Roman" w:hAnsi="Times New Roman" w:cs="Times New Roman"/>
          <w:sz w:val="24"/>
          <w:szCs w:val="24"/>
          <w:lang w:eastAsia="fr-FR"/>
        </w:rPr>
        <w:t>à dix-neuf heures</w:t>
      </w:r>
      <w:r>
        <w:rPr>
          <w:rFonts w:ascii="Times New Roman" w:eastAsia="Times New Roman" w:hAnsi="Times New Roman" w:cs="Times New Roman"/>
          <w:sz w:val="24"/>
          <w:szCs w:val="24"/>
          <w:lang w:eastAsia="fr-FR"/>
        </w:rPr>
        <w:t xml:space="preserve"> trente</w:t>
      </w:r>
      <w:r w:rsidRPr="00BF6379">
        <w:rPr>
          <w:rFonts w:ascii="Times New Roman" w:eastAsia="Times New Roman" w:hAnsi="Times New Roman" w:cs="Times New Roman"/>
          <w:sz w:val="24"/>
          <w:szCs w:val="24"/>
          <w:lang w:eastAsia="fr-FR"/>
        </w:rPr>
        <w:t>, le Conseil Municipal de la commune de LE MOUSTOIR, régulièrement convoqué, s'est réuni en assemblée ordinaire, dans le lieu habituel de ses séances, sous la présidence de Mme Marie-Hélène LE BIHAN, Maire.</w:t>
      </w:r>
    </w:p>
    <w:p w:rsidR="00430E4A" w:rsidRPr="00BF6379" w:rsidRDefault="00430E4A" w:rsidP="00C1488F">
      <w:pPr>
        <w:tabs>
          <w:tab w:val="left" w:pos="7605"/>
        </w:tabs>
        <w:overflowPunct w:val="0"/>
        <w:autoSpaceDE w:val="0"/>
        <w:autoSpaceDN w:val="0"/>
        <w:adjustRightInd w:val="0"/>
        <w:spacing w:after="0" w:line="240" w:lineRule="auto"/>
        <w:ind w:left="709" w:right="43" w:hanging="1"/>
        <w:jc w:val="both"/>
        <w:textAlignment w:val="baseline"/>
        <w:rPr>
          <w:rFonts w:ascii="Times New Roman" w:eastAsia="Times New Roman" w:hAnsi="Times New Roman" w:cs="Times New Roman"/>
          <w:sz w:val="24"/>
          <w:szCs w:val="20"/>
          <w:lang w:eastAsia="fr-FR"/>
        </w:rPr>
      </w:pPr>
      <w:r w:rsidRPr="00BF6379">
        <w:rPr>
          <w:rFonts w:ascii="Times New Roman" w:eastAsia="Times New Roman" w:hAnsi="Times New Roman" w:cs="Times New Roman"/>
          <w:szCs w:val="20"/>
          <w:lang w:eastAsia="fr-FR"/>
        </w:rPr>
        <w:tab/>
      </w:r>
    </w:p>
    <w:p w:rsidR="00430E4A" w:rsidRDefault="00430E4A" w:rsidP="00430E4A">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430E4A" w:rsidRPr="00B66282" w:rsidRDefault="00C1488F" w:rsidP="00C1488F">
      <w:pPr>
        <w:overflowPunct w:val="0"/>
        <w:autoSpaceDE w:val="0"/>
        <w:autoSpaceDN w:val="0"/>
        <w:adjustRightInd w:val="0"/>
        <w:spacing w:after="0" w:line="240" w:lineRule="auto"/>
        <w:ind w:left="709"/>
        <w:jc w:val="both"/>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lang w:eastAsia="fr-FR"/>
        </w:rPr>
        <w:t xml:space="preserve">2) </w:t>
      </w:r>
      <w:r>
        <w:rPr>
          <w:rFonts w:ascii="Garamond" w:eastAsia="Times New Roman" w:hAnsi="Garamond" w:cs="Times New Roman"/>
          <w:b/>
          <w:bCs/>
          <w:i/>
          <w:iCs/>
          <w:sz w:val="24"/>
          <w:szCs w:val="24"/>
          <w:u w:val="single"/>
          <w:lang w:eastAsia="fr-FR"/>
        </w:rPr>
        <w:t>Demande de subvention pour la rénovation d’une partie de la Salle des Fêtes</w:t>
      </w:r>
    </w:p>
    <w:p w:rsidR="00430E4A" w:rsidRPr="00B66282" w:rsidRDefault="00430E4A" w:rsidP="00430E4A">
      <w:pPr>
        <w:overflowPunct w:val="0"/>
        <w:autoSpaceDE w:val="0"/>
        <w:autoSpaceDN w:val="0"/>
        <w:adjustRightInd w:val="0"/>
        <w:spacing w:after="0" w:line="240" w:lineRule="auto"/>
        <w:ind w:left="720" w:right="43"/>
        <w:jc w:val="center"/>
        <w:textAlignment w:val="baseline"/>
        <w:rPr>
          <w:rFonts w:ascii="Times New Roman" w:eastAsia="Times New Roman" w:hAnsi="Times New Roman" w:cs="Times New Roman"/>
          <w:sz w:val="24"/>
          <w:szCs w:val="20"/>
          <w:lang w:eastAsia="fr-FR"/>
        </w:rPr>
      </w:pP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sidRPr="00B66282">
        <w:rPr>
          <w:rFonts w:ascii="Times New Roman" w:eastAsia="Times New Roman" w:hAnsi="Times New Roman" w:cs="Times New Roman"/>
          <w:sz w:val="24"/>
          <w:szCs w:val="20"/>
          <w:lang w:eastAsia="fr-FR"/>
        </w:rPr>
        <w:tab/>
      </w:r>
      <w:r w:rsidRPr="00B66282">
        <w:rPr>
          <w:rFonts w:ascii="Times New Roman" w:eastAsia="Times New Roman" w:hAnsi="Times New Roman" w:cs="Times New Roman"/>
          <w:lang w:eastAsia="fr-FR"/>
        </w:rPr>
        <w:t xml:space="preserve">Le Maire </w:t>
      </w:r>
      <w:r>
        <w:rPr>
          <w:rFonts w:ascii="Times New Roman" w:eastAsia="Times New Roman" w:hAnsi="Times New Roman" w:cs="Times New Roman"/>
          <w:lang w:eastAsia="fr-FR"/>
        </w:rPr>
        <w:t>donne connaissance à l’assemblée du compte rendu de la commission des bâtiments communaux concernant la rénovation d’une partie de la salle des fêtes.</w:t>
      </w: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 xml:space="preserve">Cette rénovation concerne le remplacement du plancher, la mise aux normes des toilettes ainsi que la porte d’entrée. Ces travaux sont réalisés d’une part dans le cadre de l’accessibilité des bâtiments communaux aux personnes à mobilité réduite et d’autre part dans le cadre des T.A.P </w:t>
      </w: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 xml:space="preserve">Des devis ont été demandés à diverses entreprises pour réaliser les travaux cités ci-dessus. </w:t>
      </w: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p>
    <w:p w:rsidR="00430E4A" w:rsidRDefault="00430E4A" w:rsidP="00430E4A">
      <w:pPr>
        <w:overflowPunct w:val="0"/>
        <w:autoSpaceDE w:val="0"/>
        <w:autoSpaceDN w:val="0"/>
        <w:adjustRightInd w:val="0"/>
        <w:spacing w:after="0" w:line="240" w:lineRule="auto"/>
        <w:ind w:left="720"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Le maire propose de retenir les entreprises suivantes pour réaliser les travaux :</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L’entreprise Eurl Boiserie LE CREFF pour le remplacement du plancher pour un montant de travaux de 16.332,38€ HT soit 19.598,85€ TTC</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L’entreprise A.J Menuiseries pour le changement de la porte d’entrée pour un montant de travaux de 2.451,12 € H.T soit 2.941,34€ TTC.</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Et enfin l’entreprise Dominique GUEGUEN pour la mise aux normes des toilettes pour un montant de travaux de 1.154€ H.T soit 1.384,80€ TTC</w:t>
      </w:r>
    </w:p>
    <w:p w:rsidR="00430E4A" w:rsidRDefault="00430E4A" w:rsidP="00430E4A">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p>
    <w:p w:rsidR="00430E4A" w:rsidRDefault="00430E4A" w:rsidP="00430E4A">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t>Le Maire propose à l’assemblée de solliciter des subventions auprès de :</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Mme Annie LE HUEROU dans le cadre de la réserve parlementaire</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De la Sous-préfecture de Guingamp dans le cadre de la DETR.</w:t>
      </w:r>
    </w:p>
    <w:p w:rsidR="00430E4A" w:rsidRPr="00A4795C" w:rsidRDefault="00430E4A" w:rsidP="00430E4A">
      <w:pPr>
        <w:pStyle w:val="Paragraphedeliste"/>
        <w:overflowPunct w:val="0"/>
        <w:autoSpaceDE w:val="0"/>
        <w:autoSpaceDN w:val="0"/>
        <w:adjustRightInd w:val="0"/>
        <w:spacing w:after="0" w:line="240" w:lineRule="auto"/>
        <w:ind w:left="1770" w:right="43"/>
        <w:jc w:val="both"/>
        <w:textAlignment w:val="baseline"/>
        <w:rPr>
          <w:rFonts w:ascii="Times New Roman" w:eastAsia="Times New Roman" w:hAnsi="Times New Roman" w:cs="Times New Roman"/>
          <w:lang w:eastAsia="fr-FR"/>
        </w:rPr>
      </w:pPr>
    </w:p>
    <w:p w:rsidR="00430E4A" w:rsidRDefault="00430E4A" w:rsidP="00430E4A">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Le Conseil Municipal, après en avoir délibéré, décide à l’unanimité :</w:t>
      </w:r>
    </w:p>
    <w:p w:rsidR="00430E4A" w:rsidRDefault="00430E4A" w:rsidP="00430E4A">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p>
    <w:p w:rsidR="00430E4A" w:rsidRPr="00EC07A3" w:rsidRDefault="00430E4A" w:rsidP="00430E4A">
      <w:pPr>
        <w:pStyle w:val="Paragraphedeliste"/>
        <w:overflowPunct w:val="0"/>
        <w:autoSpaceDE w:val="0"/>
        <w:autoSpaceDN w:val="0"/>
        <w:adjustRightInd w:val="0"/>
        <w:spacing w:after="0" w:line="240" w:lineRule="auto"/>
        <w:ind w:left="177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sym w:font="Wingdings" w:char="F0C4"/>
      </w:r>
      <w:r>
        <w:rPr>
          <w:rFonts w:ascii="Times New Roman" w:eastAsia="Times New Roman" w:hAnsi="Times New Roman" w:cs="Times New Roman"/>
          <w:sz w:val="24"/>
          <w:szCs w:val="24"/>
          <w:lang w:eastAsia="fr-FR"/>
        </w:rPr>
        <w:t xml:space="preserve">De retenir les entreprises proposées par Mme Le Maire pour réaliser les travaux dans la salle des fêtes à savoir : </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L’entreprise Eurl Boiserie LE CREFF pour le remplacement du plancher pour un montant de travaux de 16.332,38€ HT soit 19.598,85€ TTC</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L’entreprise A.J Menuiseries pour le changement de la porte d’entrée pour un montant de travaux de 2.451,12 € H.T soit 2.941,34€ TTC.</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Et enfin l’entreprise Dominique GUEGUEN pour la mise aux normes des toilettes</w:t>
      </w:r>
      <w:r w:rsidRPr="00DF3B70">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pour un montant de travaux de 1.154€ H.T soit 1.384,80€ TTC</w:t>
      </w:r>
    </w:p>
    <w:p w:rsidR="00430E4A" w:rsidRDefault="00430E4A" w:rsidP="00430E4A">
      <w:p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p>
    <w:p w:rsidR="00430E4A" w:rsidRDefault="00430E4A" w:rsidP="00430E4A">
      <w:pPr>
        <w:pStyle w:val="Paragraphedeliste"/>
        <w:overflowPunct w:val="0"/>
        <w:autoSpaceDE w:val="0"/>
        <w:autoSpaceDN w:val="0"/>
        <w:adjustRightInd w:val="0"/>
        <w:spacing w:after="0" w:line="240" w:lineRule="auto"/>
        <w:ind w:left="1770" w:right="43"/>
        <w:jc w:val="both"/>
        <w:textAlignment w:val="baseline"/>
        <w:rPr>
          <w:rFonts w:ascii="Times New Roman" w:eastAsia="Times New Roman" w:hAnsi="Times New Roman" w:cs="Times New Roman"/>
          <w:lang w:eastAsia="fr-FR"/>
        </w:rPr>
      </w:pPr>
    </w:p>
    <w:p w:rsidR="00430E4A" w:rsidRPr="00EC07A3" w:rsidRDefault="00430E4A" w:rsidP="00430E4A">
      <w:pPr>
        <w:pStyle w:val="Paragraphedeliste"/>
        <w:overflowPunct w:val="0"/>
        <w:autoSpaceDE w:val="0"/>
        <w:autoSpaceDN w:val="0"/>
        <w:adjustRightInd w:val="0"/>
        <w:spacing w:after="0" w:line="240" w:lineRule="auto"/>
        <w:ind w:left="1770"/>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sym w:font="Wingdings" w:char="F0C4"/>
      </w:r>
      <w:r>
        <w:rPr>
          <w:rFonts w:ascii="Times New Roman" w:eastAsia="Times New Roman" w:hAnsi="Times New Roman" w:cs="Times New Roman"/>
          <w:sz w:val="24"/>
          <w:szCs w:val="24"/>
          <w:lang w:eastAsia="fr-FR"/>
        </w:rPr>
        <w:t xml:space="preserve">De solliciter des subventions auprès de : </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Mme Annie LE HUEROU dans le cadre de la réserve parlementaire</w:t>
      </w:r>
    </w:p>
    <w:p w:rsidR="00430E4A" w:rsidRDefault="00430E4A" w:rsidP="00430E4A">
      <w:pPr>
        <w:pStyle w:val="Paragraphedeliste"/>
        <w:numPr>
          <w:ilvl w:val="0"/>
          <w:numId w:val="1"/>
        </w:numPr>
        <w:overflowPunct w:val="0"/>
        <w:autoSpaceDE w:val="0"/>
        <w:autoSpaceDN w:val="0"/>
        <w:adjustRightInd w:val="0"/>
        <w:spacing w:after="0" w:line="240" w:lineRule="auto"/>
        <w:ind w:right="43"/>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De la Sous-préfecture de Guingamp dans le cadre de la DETR.</w:t>
      </w:r>
    </w:p>
    <w:p w:rsidR="00430E4A" w:rsidRDefault="00430E4A" w:rsidP="00430E4A">
      <w:pPr>
        <w:pStyle w:val="Paragraphedeliste"/>
        <w:overflowPunct w:val="0"/>
        <w:autoSpaceDE w:val="0"/>
        <w:autoSpaceDN w:val="0"/>
        <w:adjustRightInd w:val="0"/>
        <w:spacing w:after="0" w:line="240" w:lineRule="auto"/>
        <w:ind w:left="1770" w:right="43"/>
        <w:jc w:val="both"/>
        <w:textAlignment w:val="baseline"/>
        <w:rPr>
          <w:rFonts w:ascii="Times New Roman" w:eastAsia="Times New Roman" w:hAnsi="Times New Roman" w:cs="Times New Roman"/>
          <w:lang w:eastAsia="fr-FR"/>
        </w:rPr>
      </w:pPr>
    </w:p>
    <w:p w:rsidR="00430E4A" w:rsidRDefault="00430E4A" w:rsidP="00C1488F">
      <w:pPr>
        <w:pStyle w:val="Paragraphedeliste"/>
        <w:overflowPunct w:val="0"/>
        <w:autoSpaceDE w:val="0"/>
        <w:autoSpaceDN w:val="0"/>
        <w:adjustRightInd w:val="0"/>
        <w:spacing w:after="0" w:line="240" w:lineRule="auto"/>
        <w:ind w:left="1770" w:right="43"/>
        <w:jc w:val="both"/>
        <w:textAlignment w:val="baseline"/>
        <w:rPr>
          <w:rFonts w:ascii="Times New Roman" w:eastAsia="Times New Roman" w:hAnsi="Times New Roman" w:cs="Times New Roman"/>
          <w:lang w:eastAsia="fr-FR"/>
        </w:rPr>
      </w:pPr>
    </w:p>
    <w:p w:rsidR="00430E4A" w:rsidRPr="00EC07A3" w:rsidRDefault="00C1488F" w:rsidP="00C1488F">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b/>
          <w:bCs/>
          <w:lang w:eastAsia="fr-FR"/>
        </w:rPr>
      </w:pPr>
      <w:r>
        <w:rPr>
          <w:rFonts w:ascii="Garamond" w:eastAsia="Times New Roman" w:hAnsi="Garamond" w:cs="Times New Roman"/>
          <w:b/>
          <w:bCs/>
          <w:i/>
          <w:iCs/>
          <w:sz w:val="24"/>
          <w:szCs w:val="24"/>
          <w:lang w:eastAsia="fr-FR"/>
        </w:rPr>
        <w:t xml:space="preserve">3) </w:t>
      </w:r>
      <w:r>
        <w:rPr>
          <w:rFonts w:ascii="Garamond" w:eastAsia="Times New Roman" w:hAnsi="Garamond" w:cs="Times New Roman"/>
          <w:b/>
          <w:bCs/>
          <w:i/>
          <w:iCs/>
          <w:sz w:val="24"/>
          <w:szCs w:val="24"/>
          <w:u w:val="single"/>
          <w:lang w:eastAsia="fr-FR"/>
        </w:rPr>
        <w:t>Renouvellement de la convention de mise à disposition du service voirie/espaces verts</w:t>
      </w:r>
    </w:p>
    <w:p w:rsidR="00430E4A" w:rsidRPr="00EC07A3" w:rsidRDefault="00430E4A" w:rsidP="00C1488F">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p>
    <w:p w:rsidR="00430E4A" w:rsidRPr="00EC07A3" w:rsidRDefault="00430E4A" w:rsidP="00430E4A">
      <w:pPr>
        <w:spacing w:before="100" w:beforeAutospacing="1" w:after="0" w:line="240" w:lineRule="auto"/>
        <w:ind w:left="700"/>
        <w:jc w:val="both"/>
        <w:rPr>
          <w:rFonts w:ascii="Times New Roman" w:eastAsia="Arial Unicode MS" w:hAnsi="Times New Roman" w:cs="Times New Roman"/>
          <w:sz w:val="24"/>
          <w:szCs w:val="24"/>
          <w:lang w:eastAsia="fr-FR"/>
        </w:rPr>
      </w:pPr>
      <w:r w:rsidRPr="00EC07A3">
        <w:rPr>
          <w:rFonts w:ascii="Times New Roman" w:eastAsia="Arial Unicode MS" w:hAnsi="Times New Roman" w:cs="Times New Roman"/>
          <w:lang w:eastAsia="fr-FR"/>
        </w:rPr>
        <w:tab/>
      </w:r>
      <w:r w:rsidRPr="00EC07A3">
        <w:rPr>
          <w:rFonts w:ascii="Times New Roman" w:eastAsia="Arial Unicode MS" w:hAnsi="Times New Roman" w:cs="Times New Roman"/>
          <w:lang w:eastAsia="fr-FR"/>
        </w:rPr>
        <w:tab/>
      </w:r>
      <w:r w:rsidRPr="00EC07A3">
        <w:rPr>
          <w:rFonts w:ascii="Times New Roman" w:eastAsia="Arial Unicode MS" w:hAnsi="Times New Roman" w:cs="Times New Roman"/>
          <w:sz w:val="24"/>
          <w:szCs w:val="24"/>
          <w:lang w:eastAsia="fr-FR"/>
        </w:rPr>
        <w:t xml:space="preserve">Madame le Maire expose à l'assemblée que par </w:t>
      </w:r>
      <w:r>
        <w:rPr>
          <w:rFonts w:ascii="Times New Roman" w:eastAsia="Arial Unicode MS" w:hAnsi="Times New Roman" w:cs="Times New Roman"/>
          <w:sz w:val="24"/>
          <w:szCs w:val="24"/>
          <w:lang w:eastAsia="fr-FR"/>
        </w:rPr>
        <w:t>délibération en date du 13 novembre 2013</w:t>
      </w:r>
      <w:r w:rsidRPr="00EC07A3">
        <w:rPr>
          <w:rFonts w:ascii="Times New Roman" w:eastAsia="Arial Unicode MS" w:hAnsi="Times New Roman" w:cs="Times New Roman"/>
          <w:sz w:val="24"/>
          <w:szCs w:val="24"/>
          <w:lang w:eastAsia="fr-FR"/>
        </w:rPr>
        <w:t>, le conseil avait validé la convention de mise à disposition du service voirie/espaces verts entre Poher Communauté et la commune. Cette convention était signée pour une durée de 1 a</w:t>
      </w:r>
      <w:r>
        <w:rPr>
          <w:rFonts w:ascii="Times New Roman" w:eastAsia="Arial Unicode MS" w:hAnsi="Times New Roman" w:cs="Times New Roman"/>
          <w:sz w:val="24"/>
          <w:szCs w:val="24"/>
          <w:lang w:eastAsia="fr-FR"/>
        </w:rPr>
        <w:t>n soit jusqu’au 31 décembre 2014</w:t>
      </w:r>
      <w:r w:rsidRPr="00EC07A3">
        <w:rPr>
          <w:rFonts w:ascii="Times New Roman" w:eastAsia="Arial Unicode MS" w:hAnsi="Times New Roman" w:cs="Times New Roman"/>
          <w:sz w:val="24"/>
          <w:szCs w:val="24"/>
          <w:lang w:eastAsia="fr-FR"/>
        </w:rPr>
        <w:t>.</w:t>
      </w:r>
    </w:p>
    <w:p w:rsidR="00430E4A" w:rsidRPr="00EC07A3" w:rsidRDefault="00430E4A" w:rsidP="00430E4A">
      <w:pPr>
        <w:spacing w:before="100" w:beforeAutospacing="1" w:after="0" w:line="240" w:lineRule="auto"/>
        <w:ind w:left="700"/>
        <w:jc w:val="both"/>
        <w:rPr>
          <w:rFonts w:ascii="Times New Roman" w:eastAsia="Arial Unicode MS" w:hAnsi="Times New Roman" w:cs="Times New Roman"/>
          <w:sz w:val="24"/>
          <w:szCs w:val="24"/>
          <w:lang w:eastAsia="fr-FR"/>
        </w:rPr>
      </w:pPr>
      <w:r w:rsidRPr="00EC07A3">
        <w:rPr>
          <w:rFonts w:ascii="Times New Roman" w:eastAsia="Arial Unicode MS" w:hAnsi="Times New Roman" w:cs="Times New Roman"/>
          <w:sz w:val="24"/>
          <w:szCs w:val="24"/>
          <w:lang w:eastAsia="fr-FR"/>
        </w:rPr>
        <w:tab/>
      </w:r>
      <w:r w:rsidRPr="00EC07A3">
        <w:rPr>
          <w:rFonts w:ascii="Times New Roman" w:eastAsia="Arial Unicode MS" w:hAnsi="Times New Roman" w:cs="Times New Roman"/>
          <w:sz w:val="24"/>
          <w:szCs w:val="24"/>
          <w:lang w:eastAsia="fr-FR"/>
        </w:rPr>
        <w:tab/>
        <w:t>Il est proposé au conseil de renouveler cette convention et d’autoriser</w:t>
      </w:r>
      <w:r>
        <w:rPr>
          <w:rFonts w:ascii="Times New Roman" w:eastAsia="Arial Unicode MS" w:hAnsi="Times New Roman" w:cs="Times New Roman"/>
          <w:sz w:val="24"/>
          <w:szCs w:val="24"/>
          <w:lang w:eastAsia="fr-FR"/>
        </w:rPr>
        <w:t xml:space="preserve"> le maire à signer l’avenant n°4</w:t>
      </w:r>
      <w:r w:rsidRPr="00EC07A3">
        <w:rPr>
          <w:rFonts w:ascii="Times New Roman" w:eastAsia="Arial Unicode MS" w:hAnsi="Times New Roman" w:cs="Times New Roman"/>
          <w:sz w:val="24"/>
          <w:szCs w:val="24"/>
          <w:lang w:eastAsia="fr-FR"/>
        </w:rPr>
        <w:t xml:space="preserve"> à la convention de mise à disposition de service.</w:t>
      </w:r>
    </w:p>
    <w:p w:rsidR="00430E4A" w:rsidRPr="00EC07A3" w:rsidRDefault="00430E4A" w:rsidP="00430E4A">
      <w:pPr>
        <w:spacing w:before="100" w:beforeAutospacing="1" w:after="0" w:line="240" w:lineRule="auto"/>
        <w:ind w:left="700"/>
        <w:jc w:val="both"/>
        <w:rPr>
          <w:rFonts w:ascii="Times New Roman" w:eastAsia="Arial Unicode MS" w:hAnsi="Times New Roman" w:cs="Times New Roman"/>
          <w:sz w:val="24"/>
          <w:szCs w:val="24"/>
          <w:lang w:eastAsia="fr-FR"/>
        </w:rPr>
      </w:pPr>
      <w:r w:rsidRPr="00EC07A3">
        <w:rPr>
          <w:rFonts w:ascii="Times New Roman" w:eastAsia="Arial Unicode MS" w:hAnsi="Times New Roman" w:cs="Times New Roman"/>
          <w:sz w:val="24"/>
          <w:szCs w:val="24"/>
          <w:lang w:eastAsia="fr-FR"/>
        </w:rPr>
        <w:tab/>
      </w:r>
      <w:r w:rsidRPr="00EC07A3">
        <w:rPr>
          <w:rFonts w:ascii="Times New Roman" w:eastAsia="Arial Unicode MS" w:hAnsi="Times New Roman" w:cs="Times New Roman"/>
          <w:sz w:val="24"/>
          <w:szCs w:val="24"/>
          <w:lang w:eastAsia="fr-FR"/>
        </w:rPr>
        <w:tab/>
        <w:t>Le Conseil municipal, après en avoir délibéré et à l’unanimité, autorise le maire à signer l’aven</w:t>
      </w:r>
      <w:r>
        <w:rPr>
          <w:rFonts w:ascii="Times New Roman" w:eastAsia="Arial Unicode MS" w:hAnsi="Times New Roman" w:cs="Times New Roman"/>
          <w:sz w:val="24"/>
          <w:szCs w:val="24"/>
          <w:lang w:eastAsia="fr-FR"/>
        </w:rPr>
        <w:t>ant n°4</w:t>
      </w:r>
      <w:r w:rsidRPr="00EC07A3">
        <w:rPr>
          <w:rFonts w:ascii="Times New Roman" w:eastAsia="Arial Unicode MS" w:hAnsi="Times New Roman" w:cs="Times New Roman"/>
          <w:sz w:val="24"/>
          <w:szCs w:val="24"/>
          <w:lang w:eastAsia="fr-FR"/>
        </w:rPr>
        <w:t xml:space="preserve"> à la convention.</w:t>
      </w:r>
    </w:p>
    <w:p w:rsidR="00430E4A" w:rsidRDefault="00430E4A" w:rsidP="00430E4A">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sz w:val="24"/>
          <w:szCs w:val="24"/>
          <w:lang w:eastAsia="fr-FR"/>
        </w:rPr>
      </w:pPr>
    </w:p>
    <w:p w:rsidR="00430E4A" w:rsidRDefault="00430E4A" w:rsidP="00430E4A">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430E4A" w:rsidRDefault="00C1488F" w:rsidP="00C1488F">
      <w:pPr>
        <w:overflowPunct w:val="0"/>
        <w:autoSpaceDE w:val="0"/>
        <w:autoSpaceDN w:val="0"/>
        <w:adjustRightInd w:val="0"/>
        <w:spacing w:after="0" w:line="240" w:lineRule="auto"/>
        <w:ind w:left="709"/>
        <w:jc w:val="both"/>
        <w:textAlignment w:val="baseline"/>
        <w:rPr>
          <w:rFonts w:ascii="Garamond" w:eastAsia="Times New Roman" w:hAnsi="Garamond" w:cs="Times New Roman"/>
          <w:b/>
          <w:bCs/>
          <w:i/>
          <w:iCs/>
          <w:sz w:val="24"/>
          <w:szCs w:val="24"/>
          <w:u w:val="single"/>
          <w:lang w:eastAsia="fr-FR"/>
        </w:rPr>
      </w:pPr>
      <w:r>
        <w:rPr>
          <w:rFonts w:ascii="Garamond" w:eastAsia="Times New Roman" w:hAnsi="Garamond" w:cs="Times New Roman"/>
          <w:b/>
          <w:bCs/>
          <w:i/>
          <w:iCs/>
          <w:sz w:val="24"/>
          <w:szCs w:val="24"/>
          <w:lang w:eastAsia="fr-FR"/>
        </w:rPr>
        <w:t xml:space="preserve">4) </w:t>
      </w:r>
      <w:r>
        <w:rPr>
          <w:rFonts w:ascii="Garamond" w:eastAsia="Times New Roman" w:hAnsi="Garamond" w:cs="Times New Roman"/>
          <w:b/>
          <w:bCs/>
          <w:i/>
          <w:iCs/>
          <w:sz w:val="24"/>
          <w:szCs w:val="24"/>
          <w:u w:val="single"/>
          <w:lang w:eastAsia="fr-FR"/>
        </w:rPr>
        <w:t>Décision modificative n°4</w:t>
      </w:r>
    </w:p>
    <w:p w:rsidR="00430E4A" w:rsidRDefault="00430E4A" w:rsidP="00430E4A">
      <w:pPr>
        <w:overflowPunct w:val="0"/>
        <w:autoSpaceDE w:val="0"/>
        <w:autoSpaceDN w:val="0"/>
        <w:adjustRightInd w:val="0"/>
        <w:spacing w:after="0" w:line="240" w:lineRule="auto"/>
        <w:ind w:left="709"/>
        <w:jc w:val="center"/>
        <w:textAlignment w:val="baseline"/>
        <w:rPr>
          <w:rFonts w:ascii="Garamond" w:eastAsia="Times New Roman" w:hAnsi="Garamond" w:cs="Times New Roman"/>
          <w:b/>
          <w:bCs/>
          <w:i/>
          <w:iCs/>
          <w:sz w:val="24"/>
          <w:szCs w:val="24"/>
          <w:u w:val="single"/>
          <w:lang w:eastAsia="fr-FR"/>
        </w:rPr>
      </w:pPr>
    </w:p>
    <w:p w:rsidR="00430E4A" w:rsidRPr="00ED20D0" w:rsidRDefault="00430E4A" w:rsidP="00430E4A">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ED20D0">
        <w:rPr>
          <w:rFonts w:ascii="Times New Roman" w:eastAsia="Times New Roman" w:hAnsi="Times New Roman" w:cs="Times New Roman"/>
          <w:lang w:eastAsia="fr-FR"/>
        </w:rPr>
        <w:tab/>
      </w:r>
      <w:r w:rsidRPr="00ED20D0">
        <w:rPr>
          <w:rFonts w:ascii="Times New Roman" w:eastAsia="Times New Roman" w:hAnsi="Times New Roman" w:cs="Times New Roman"/>
          <w:lang w:eastAsia="fr-FR"/>
        </w:rPr>
        <w:tab/>
        <w:t>Le Maire informe l’assemblée qu’il est nécessaire de procéder à des décisions m</w:t>
      </w:r>
      <w:r>
        <w:rPr>
          <w:rFonts w:ascii="Times New Roman" w:eastAsia="Times New Roman" w:hAnsi="Times New Roman" w:cs="Times New Roman"/>
          <w:lang w:eastAsia="fr-FR"/>
        </w:rPr>
        <w:t>odificatives au budget communal.</w:t>
      </w:r>
    </w:p>
    <w:p w:rsidR="00430E4A" w:rsidRPr="00ED20D0" w:rsidRDefault="00430E4A" w:rsidP="00430E4A">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sidRPr="00ED20D0">
        <w:rPr>
          <w:rFonts w:ascii="Times New Roman" w:eastAsia="Times New Roman" w:hAnsi="Times New Roman" w:cs="Times New Roman"/>
          <w:lang w:eastAsia="fr-FR"/>
        </w:rPr>
        <w:tab/>
      </w:r>
      <w:r w:rsidRPr="00ED20D0">
        <w:rPr>
          <w:rFonts w:ascii="Times New Roman" w:eastAsia="Times New Roman" w:hAnsi="Times New Roman" w:cs="Times New Roman"/>
          <w:lang w:eastAsia="fr-FR"/>
        </w:rPr>
        <w:tab/>
        <w:t>Le maire propose au conseil de voter les décisions modificatives suivantes :</w:t>
      </w:r>
    </w:p>
    <w:p w:rsidR="00430E4A" w:rsidRDefault="00430E4A" w:rsidP="00430E4A">
      <w:pPr>
        <w:overflowPunct w:val="0"/>
        <w:autoSpaceDE w:val="0"/>
        <w:autoSpaceDN w:val="0"/>
        <w:adjustRightInd w:val="0"/>
        <w:spacing w:after="0" w:line="240" w:lineRule="auto"/>
        <w:ind w:left="700"/>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sidRPr="00ED20D0">
        <w:rPr>
          <w:rFonts w:ascii="Times New Roman" w:eastAsia="Times New Roman" w:hAnsi="Times New Roman" w:cs="Times New Roman"/>
          <w:lang w:eastAsia="fr-FR"/>
        </w:rPr>
        <w:tab/>
      </w: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u w:val="single"/>
          <w:lang w:eastAsia="fr-FR"/>
        </w:rPr>
      </w:pPr>
      <w:r w:rsidRPr="005E5D2C">
        <w:rPr>
          <w:rFonts w:ascii="Times New Roman" w:eastAsia="Times New Roman" w:hAnsi="Times New Roman" w:cs="Times New Roman"/>
          <w:lang w:eastAsia="fr-FR"/>
        </w:rPr>
        <w:tab/>
      </w:r>
      <w:r>
        <w:rPr>
          <w:rFonts w:ascii="Times New Roman" w:eastAsia="Times New Roman" w:hAnsi="Times New Roman" w:cs="Times New Roman"/>
          <w:u w:val="single"/>
          <w:lang w:eastAsia="fr-FR"/>
        </w:rPr>
        <w:t>Section de fonctionnement</w:t>
      </w: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u w:val="single"/>
          <w:lang w:eastAsia="fr-FR"/>
        </w:rPr>
      </w:pP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 xml:space="preserve">DF 6532- </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- 1.000€</w:t>
      </w:r>
    </w:p>
    <w:p w:rsidR="00430E4A" w:rsidRPr="00C713E2"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DF 6411</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- 1.000€</w:t>
      </w: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DF 6154</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+ 1.000€</w:t>
      </w: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DF 6135</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+ 1.000€</w:t>
      </w:r>
    </w:p>
    <w:p w:rsidR="00430E4A" w:rsidRPr="00ED20D0"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lang w:eastAsia="fr-FR"/>
        </w:rPr>
      </w:pPr>
      <w:r w:rsidRPr="00ED20D0">
        <w:rPr>
          <w:rFonts w:ascii="Times New Roman" w:eastAsia="Times New Roman" w:hAnsi="Times New Roman" w:cs="Times New Roman"/>
          <w:lang w:eastAsia="fr-FR"/>
        </w:rPr>
        <w:tab/>
      </w:r>
      <w:r w:rsidRPr="00ED20D0">
        <w:rPr>
          <w:rFonts w:ascii="Times New Roman" w:eastAsia="Times New Roman" w:hAnsi="Times New Roman" w:cs="Times New Roman"/>
          <w:bCs/>
          <w:lang w:eastAsia="fr-FR"/>
        </w:rPr>
        <w:t xml:space="preserve">Le conseil municipal après en avoir délibéré et à l’unanimité, décide de voter les décisions modificatives suivantes : </w:t>
      </w:r>
    </w:p>
    <w:p w:rsidR="00430E4A" w:rsidRDefault="00430E4A" w:rsidP="00430E4A">
      <w:pPr>
        <w:overflowPunct w:val="0"/>
        <w:autoSpaceDE w:val="0"/>
        <w:autoSpaceDN w:val="0"/>
        <w:adjustRightInd w:val="0"/>
        <w:spacing w:after="0" w:line="240" w:lineRule="auto"/>
        <w:ind w:left="1405"/>
        <w:jc w:val="both"/>
        <w:textAlignment w:val="baseline"/>
        <w:rPr>
          <w:rFonts w:ascii="Times New Roman" w:eastAsia="Times New Roman" w:hAnsi="Times New Roman" w:cs="Times New Roman"/>
          <w:lang w:eastAsia="fr-FR"/>
        </w:rPr>
      </w:pPr>
      <w:r w:rsidRPr="00ED20D0">
        <w:rPr>
          <w:rFonts w:ascii="Times New Roman" w:eastAsia="Times New Roman" w:hAnsi="Times New Roman" w:cs="Times New Roman"/>
          <w:lang w:eastAsia="fr-FR"/>
        </w:rPr>
        <w:tab/>
      </w:r>
      <w:r>
        <w:rPr>
          <w:rFonts w:ascii="Times New Roman" w:eastAsia="Times New Roman" w:hAnsi="Times New Roman" w:cs="Times New Roman"/>
          <w:i/>
          <w:lang w:eastAsia="fr-FR"/>
        </w:rPr>
        <w:tab/>
      </w: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Section de fonctionnement</w:t>
      </w: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u w:val="single"/>
          <w:lang w:eastAsia="fr-FR"/>
        </w:rPr>
      </w:pP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 xml:space="preserve">DF 6532- </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- 1.000€</w:t>
      </w:r>
    </w:p>
    <w:p w:rsidR="00430E4A" w:rsidRPr="00C713E2"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DF 6411</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- 1.000€</w:t>
      </w: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DF 6154</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+ 1.000€</w:t>
      </w:r>
    </w:p>
    <w:p w:rsidR="00430E4A" w:rsidRDefault="00430E4A"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r>
        <w:rPr>
          <w:rFonts w:ascii="Times New Roman" w:eastAsia="Times New Roman" w:hAnsi="Times New Roman" w:cs="Times New Roman"/>
          <w:lang w:eastAsia="fr-FR"/>
        </w:rPr>
        <w:tab/>
        <w:t>DF 6135</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+ 1.000€</w:t>
      </w:r>
    </w:p>
    <w:p w:rsidR="00C1488F" w:rsidRDefault="00C1488F" w:rsidP="00430E4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lang w:eastAsia="fr-FR"/>
        </w:rPr>
      </w:pPr>
    </w:p>
    <w:p w:rsidR="00430E4A" w:rsidRPr="00C1488F" w:rsidRDefault="00C1488F" w:rsidP="00C1488F">
      <w:pPr>
        <w:pStyle w:val="NormalWeb"/>
        <w:spacing w:before="0" w:beforeAutospacing="0" w:after="200" w:afterAutospacing="0"/>
        <w:ind w:left="709"/>
        <w:jc w:val="both"/>
        <w:rPr>
          <w:rFonts w:ascii="Garamond" w:hAnsi="Garamond"/>
          <w:b/>
          <w:i/>
          <w:color w:val="000000"/>
          <w:sz w:val="28"/>
          <w:szCs w:val="28"/>
          <w:u w:val="single"/>
        </w:rPr>
      </w:pPr>
      <w:r>
        <w:rPr>
          <w:rFonts w:ascii="Garamond" w:hAnsi="Garamond"/>
          <w:b/>
          <w:i/>
          <w:color w:val="000000"/>
          <w:sz w:val="28"/>
          <w:szCs w:val="28"/>
        </w:rPr>
        <w:t xml:space="preserve">5) </w:t>
      </w:r>
      <w:r w:rsidR="00430E4A" w:rsidRPr="00C1488F">
        <w:rPr>
          <w:rFonts w:ascii="Garamond" w:hAnsi="Garamond"/>
          <w:b/>
          <w:i/>
          <w:color w:val="000000"/>
          <w:sz w:val="28"/>
          <w:szCs w:val="28"/>
          <w:u w:val="single"/>
        </w:rPr>
        <w:t>Extension du périmètre de Poher communauté - répartition des sièges au conseil communautaire</w:t>
      </w:r>
    </w:p>
    <w:p w:rsidR="00430E4A" w:rsidRPr="002B08F4" w:rsidRDefault="00430E4A" w:rsidP="00430E4A">
      <w:pPr>
        <w:pStyle w:val="NormalWeb"/>
        <w:spacing w:before="0" w:beforeAutospacing="0" w:after="200" w:afterAutospacing="0"/>
        <w:ind w:left="709"/>
        <w:rPr>
          <w:color w:val="000000"/>
          <w:sz w:val="22"/>
          <w:szCs w:val="22"/>
          <w:u w:val="single"/>
        </w:rPr>
      </w:pPr>
    </w:p>
    <w:p w:rsidR="00430E4A" w:rsidRPr="002B08F4" w:rsidRDefault="00430E4A" w:rsidP="00430E4A">
      <w:pPr>
        <w:pStyle w:val="NormalWeb"/>
        <w:spacing w:before="0" w:beforeAutospacing="0" w:after="200" w:afterAutospacing="0"/>
        <w:ind w:left="709"/>
        <w:jc w:val="both"/>
        <w:rPr>
          <w:sz w:val="22"/>
          <w:szCs w:val="22"/>
        </w:rPr>
      </w:pPr>
      <w:r w:rsidRPr="002B08F4">
        <w:rPr>
          <w:color w:val="000000"/>
          <w:sz w:val="22"/>
          <w:szCs w:val="22"/>
        </w:rPr>
        <w:t>Dans le cadre de l’extension du périmètre de Poher communauté au 1</w:t>
      </w:r>
      <w:r w:rsidRPr="002B08F4">
        <w:rPr>
          <w:color w:val="000000"/>
          <w:sz w:val="22"/>
          <w:szCs w:val="22"/>
          <w:vertAlign w:val="superscript"/>
        </w:rPr>
        <w:t>er</w:t>
      </w:r>
      <w:r w:rsidRPr="002B08F4">
        <w:rPr>
          <w:color w:val="000000"/>
          <w:sz w:val="22"/>
          <w:szCs w:val="22"/>
        </w:rPr>
        <w:t xml:space="preserve"> janvier prochain, l’avis du conseil constitutionnel du 20 juin dernier, rend impossible l’adoption d’un accord local concernant le nombre et la répartition des sièges au conseil. Ceux-ci seront donc fixés e</w:t>
      </w:r>
      <w:r w:rsidRPr="002B08F4">
        <w:rPr>
          <w:sz w:val="22"/>
          <w:szCs w:val="22"/>
        </w:rPr>
        <w:t>n application des articles L5211-6-1 et L 5211-6-2 du CGCT.</w:t>
      </w:r>
    </w:p>
    <w:p w:rsidR="00430E4A" w:rsidRPr="002B08F4" w:rsidRDefault="00430E4A" w:rsidP="00430E4A">
      <w:pPr>
        <w:pStyle w:val="NormalWeb"/>
        <w:spacing w:before="0" w:beforeAutospacing="0" w:after="200" w:afterAutospacing="0"/>
        <w:ind w:left="709"/>
        <w:jc w:val="both"/>
        <w:rPr>
          <w:color w:val="000000"/>
          <w:sz w:val="22"/>
          <w:szCs w:val="22"/>
        </w:rPr>
      </w:pPr>
      <w:r w:rsidRPr="002B08F4">
        <w:rPr>
          <w:sz w:val="22"/>
          <w:szCs w:val="22"/>
        </w:rPr>
        <w:t xml:space="preserve">Les sièges au sein du conseil communautaire diminueront donc de 32à 27 et seront répartis comme suit </w:t>
      </w:r>
      <w:r w:rsidRPr="002B08F4">
        <w:rPr>
          <w:color w:val="000000"/>
          <w:sz w:val="22"/>
          <w:szCs w:val="22"/>
        </w:rPr>
        <w:t xml:space="preserve"> (colonne bleue):</w:t>
      </w:r>
    </w:p>
    <w:p w:rsidR="00430E4A" w:rsidRPr="002B08F4" w:rsidRDefault="00430E4A" w:rsidP="00430E4A">
      <w:pPr>
        <w:jc w:val="both"/>
        <w:rPr>
          <w:rFonts w:ascii="Times New Roman" w:hAnsi="Times New Roman" w:cs="Times New Roman"/>
        </w:rPr>
      </w:pPr>
    </w:p>
    <w:tbl>
      <w:tblPr>
        <w:tblW w:w="90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8"/>
        <w:gridCol w:w="1550"/>
        <w:gridCol w:w="1952"/>
        <w:gridCol w:w="1952"/>
        <w:gridCol w:w="1940"/>
      </w:tblGrid>
      <w:tr w:rsidR="00430E4A" w:rsidRPr="002B08F4" w:rsidTr="00CF519A">
        <w:tc>
          <w:tcPr>
            <w:tcW w:w="1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b/>
                <w:bCs/>
                <w:color w:val="000000"/>
                <w:sz w:val="22"/>
                <w:szCs w:val="22"/>
                <w:lang w:eastAsia="en-US"/>
              </w:rPr>
              <w:t xml:space="preserve">Commune </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b/>
                <w:bCs/>
                <w:color w:val="000000"/>
                <w:sz w:val="22"/>
                <w:szCs w:val="22"/>
                <w:lang w:eastAsia="en-US"/>
              </w:rPr>
              <w:t>Population municipale</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b/>
                <w:bCs/>
                <w:color w:val="000000"/>
                <w:sz w:val="22"/>
                <w:szCs w:val="22"/>
                <w:lang w:eastAsia="en-US"/>
              </w:rPr>
              <w:t>Accord local d’avril 2014 (avant extension de périmètre)</w:t>
            </w:r>
          </w:p>
        </w:tc>
        <w:tc>
          <w:tcPr>
            <w:tcW w:w="1952" w:type="dxa"/>
            <w:tcBorders>
              <w:top w:val="single" w:sz="8" w:space="0" w:color="auto"/>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b/>
                <w:bCs/>
                <w:color w:val="000000"/>
                <w:sz w:val="22"/>
                <w:szCs w:val="22"/>
                <w:lang w:eastAsia="en-US"/>
              </w:rPr>
              <w:t xml:space="preserve">Nombre de sièges (1° du IV de l’article L 5211-6-1 du </w:t>
            </w:r>
            <w:proofErr w:type="gramStart"/>
            <w:r w:rsidRPr="002B08F4">
              <w:rPr>
                <w:b/>
                <w:bCs/>
                <w:color w:val="000000"/>
                <w:sz w:val="22"/>
                <w:szCs w:val="22"/>
                <w:lang w:eastAsia="en-US"/>
              </w:rPr>
              <w:t>CGCT )</w:t>
            </w:r>
            <w:proofErr w:type="gramEnd"/>
          </w:p>
        </w:tc>
        <w:tc>
          <w:tcPr>
            <w:tcW w:w="1940" w:type="dxa"/>
            <w:tcBorders>
              <w:top w:val="single" w:sz="8" w:space="0" w:color="auto"/>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b/>
                <w:bCs/>
                <w:color w:val="000000"/>
                <w:sz w:val="22"/>
                <w:szCs w:val="22"/>
                <w:lang w:eastAsia="en-US"/>
              </w:rPr>
            </w:pPr>
            <w:r w:rsidRPr="002B08F4">
              <w:rPr>
                <w:b/>
                <w:bCs/>
                <w:color w:val="000000"/>
                <w:sz w:val="22"/>
                <w:szCs w:val="22"/>
                <w:lang w:eastAsia="en-US"/>
              </w:rPr>
              <w:t>Evolution du nombre de sièges</w:t>
            </w: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Carhaix</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7 659</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15</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13</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r w:rsidRPr="002B08F4">
              <w:rPr>
                <w:color w:val="000000"/>
                <w:sz w:val="22"/>
                <w:szCs w:val="22"/>
                <w:lang w:eastAsia="en-US"/>
              </w:rPr>
              <w:t>-2</w:t>
            </w: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proofErr w:type="spellStart"/>
            <w:r w:rsidRPr="002B08F4">
              <w:rPr>
                <w:color w:val="000000"/>
                <w:sz w:val="22"/>
                <w:szCs w:val="22"/>
                <w:lang w:eastAsia="en-US"/>
              </w:rPr>
              <w:t>Cléden</w:t>
            </w:r>
            <w:proofErr w:type="spellEnd"/>
            <w:r w:rsidRPr="002B08F4">
              <w:rPr>
                <w:color w:val="000000"/>
                <w:sz w:val="22"/>
                <w:szCs w:val="22"/>
                <w:lang w:eastAsia="en-US"/>
              </w:rPr>
              <w:t xml:space="preserve"> Poher</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1 094</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3</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2</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r w:rsidRPr="002B08F4">
              <w:rPr>
                <w:color w:val="000000"/>
                <w:sz w:val="22"/>
                <w:szCs w:val="22"/>
                <w:lang w:eastAsia="en-US"/>
              </w:rPr>
              <w:t>-1</w:t>
            </w: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proofErr w:type="spellStart"/>
            <w:r w:rsidRPr="002B08F4">
              <w:rPr>
                <w:color w:val="000000"/>
                <w:sz w:val="22"/>
                <w:szCs w:val="22"/>
                <w:lang w:eastAsia="en-US"/>
              </w:rPr>
              <w:t>Kergloff</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939</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2</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2</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r w:rsidRPr="002B08F4">
              <w:rPr>
                <w:color w:val="000000"/>
                <w:sz w:val="22"/>
                <w:szCs w:val="22"/>
                <w:lang w:eastAsia="en-US"/>
              </w:rPr>
              <w:t>identique</w:t>
            </w: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proofErr w:type="spellStart"/>
            <w:r w:rsidRPr="002B08F4">
              <w:rPr>
                <w:color w:val="000000"/>
                <w:sz w:val="22"/>
                <w:szCs w:val="22"/>
                <w:lang w:eastAsia="en-US"/>
              </w:rPr>
              <w:t>Motreff</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741</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2</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r w:rsidRPr="002B08F4">
              <w:rPr>
                <w:color w:val="000000"/>
                <w:sz w:val="22"/>
                <w:szCs w:val="22"/>
                <w:lang w:eastAsia="en-US"/>
              </w:rPr>
              <w:t>-1</w:t>
            </w: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proofErr w:type="spellStart"/>
            <w:r w:rsidRPr="002B08F4">
              <w:rPr>
                <w:color w:val="000000"/>
                <w:sz w:val="22"/>
                <w:szCs w:val="22"/>
                <w:lang w:eastAsia="en-US"/>
              </w:rPr>
              <w:t>Plounévézel</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1164</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3</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2</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r w:rsidRPr="002B08F4">
              <w:rPr>
                <w:color w:val="000000"/>
                <w:sz w:val="22"/>
                <w:szCs w:val="22"/>
                <w:lang w:eastAsia="en-US"/>
              </w:rPr>
              <w:t>-1</w:t>
            </w: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proofErr w:type="spellStart"/>
            <w:r w:rsidRPr="002B08F4">
              <w:rPr>
                <w:color w:val="000000"/>
                <w:sz w:val="22"/>
                <w:szCs w:val="22"/>
                <w:lang w:eastAsia="en-US"/>
              </w:rPr>
              <w:t>Poullaouen</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1400</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3</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2</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r w:rsidRPr="002B08F4">
              <w:rPr>
                <w:color w:val="000000"/>
                <w:sz w:val="22"/>
                <w:szCs w:val="22"/>
                <w:lang w:eastAsia="en-US"/>
              </w:rPr>
              <w:t>-1</w:t>
            </w: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 xml:space="preserve">Saint </w:t>
            </w:r>
            <w:proofErr w:type="spellStart"/>
            <w:r w:rsidRPr="002B08F4">
              <w:rPr>
                <w:color w:val="000000"/>
                <w:sz w:val="22"/>
                <w:szCs w:val="22"/>
                <w:lang w:eastAsia="en-US"/>
              </w:rPr>
              <w:t>Hernin</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748</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2</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r w:rsidRPr="002B08F4">
              <w:rPr>
                <w:color w:val="000000"/>
                <w:sz w:val="22"/>
                <w:szCs w:val="22"/>
                <w:lang w:eastAsia="en-US"/>
              </w:rPr>
              <w:t>-1</w:t>
            </w: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 xml:space="preserve">Le </w:t>
            </w:r>
            <w:proofErr w:type="spellStart"/>
            <w:r w:rsidRPr="002B08F4">
              <w:rPr>
                <w:color w:val="000000"/>
                <w:sz w:val="22"/>
                <w:szCs w:val="22"/>
                <w:lang w:eastAsia="en-US"/>
              </w:rPr>
              <w:t>Moustoir</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672</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2</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r w:rsidRPr="002B08F4">
              <w:rPr>
                <w:color w:val="000000"/>
                <w:sz w:val="22"/>
                <w:szCs w:val="22"/>
                <w:lang w:eastAsia="en-US"/>
              </w:rPr>
              <w:t>-1</w:t>
            </w: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proofErr w:type="spellStart"/>
            <w:r w:rsidRPr="002B08F4">
              <w:rPr>
                <w:color w:val="000000"/>
                <w:sz w:val="22"/>
                <w:szCs w:val="22"/>
                <w:lang w:eastAsia="en-US"/>
              </w:rPr>
              <w:t>Plévin</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795</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 </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proofErr w:type="spellStart"/>
            <w:r w:rsidRPr="002B08F4">
              <w:rPr>
                <w:color w:val="000000"/>
                <w:sz w:val="22"/>
                <w:szCs w:val="22"/>
                <w:lang w:eastAsia="en-US"/>
              </w:rPr>
              <w:t>Treffrin</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558</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 </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proofErr w:type="spellStart"/>
            <w:r w:rsidRPr="002B08F4">
              <w:rPr>
                <w:color w:val="000000"/>
                <w:sz w:val="22"/>
                <w:szCs w:val="22"/>
                <w:lang w:eastAsia="en-US"/>
              </w:rPr>
              <w:t>Tréogan</w:t>
            </w:r>
            <w:proofErr w:type="spellEnd"/>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99</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 </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color w:val="000000"/>
                <w:sz w:val="22"/>
                <w:szCs w:val="22"/>
                <w:lang w:eastAsia="en-US"/>
              </w:rPr>
              <w:t>1</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color w:val="000000"/>
                <w:sz w:val="22"/>
                <w:szCs w:val="22"/>
                <w:lang w:eastAsia="en-US"/>
              </w:rPr>
            </w:pPr>
          </w:p>
        </w:tc>
      </w:tr>
      <w:tr w:rsidR="00430E4A" w:rsidRPr="002B08F4" w:rsidTr="00CF519A">
        <w:tc>
          <w:tcPr>
            <w:tcW w:w="1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b/>
                <w:bCs/>
                <w:color w:val="000000"/>
                <w:sz w:val="22"/>
                <w:szCs w:val="22"/>
                <w:lang w:eastAsia="en-US"/>
              </w:rPr>
              <w:t>Total</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b/>
                <w:bCs/>
                <w:color w:val="000000"/>
                <w:sz w:val="22"/>
                <w:szCs w:val="22"/>
                <w:lang w:eastAsia="en-US"/>
              </w:rPr>
              <w:t>15 869</w:t>
            </w:r>
          </w:p>
        </w:tc>
        <w:tc>
          <w:tcPr>
            <w:tcW w:w="1952" w:type="dxa"/>
            <w:tcBorders>
              <w:top w:val="single" w:sz="8" w:space="0" w:color="auto"/>
              <w:left w:val="nil"/>
              <w:bottom w:val="single" w:sz="8" w:space="0" w:color="auto"/>
              <w:right w:val="single" w:sz="4" w:space="0" w:color="auto"/>
            </w:tcBorders>
          </w:tcPr>
          <w:p w:rsidR="00430E4A" w:rsidRPr="002B08F4" w:rsidRDefault="00430E4A" w:rsidP="00CF519A">
            <w:pPr>
              <w:pStyle w:val="NormalWeb"/>
              <w:spacing w:before="0" w:beforeAutospacing="0" w:after="0" w:afterAutospacing="0"/>
              <w:rPr>
                <w:sz w:val="22"/>
                <w:szCs w:val="22"/>
                <w:lang w:eastAsia="en-US"/>
              </w:rPr>
            </w:pPr>
            <w:r w:rsidRPr="002B08F4">
              <w:rPr>
                <w:b/>
                <w:bCs/>
                <w:color w:val="000000"/>
                <w:sz w:val="22"/>
                <w:szCs w:val="22"/>
                <w:lang w:eastAsia="en-US"/>
              </w:rPr>
              <w:t>32</w:t>
            </w:r>
          </w:p>
        </w:tc>
        <w:tc>
          <w:tcPr>
            <w:tcW w:w="1952" w:type="dxa"/>
            <w:tcBorders>
              <w:top w:val="nil"/>
              <w:left w:val="single" w:sz="4"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rsidR="00430E4A" w:rsidRPr="002B08F4" w:rsidRDefault="00430E4A" w:rsidP="00CF519A">
            <w:pPr>
              <w:pStyle w:val="NormalWeb"/>
              <w:spacing w:before="0" w:beforeAutospacing="0" w:after="0" w:afterAutospacing="0"/>
              <w:rPr>
                <w:sz w:val="22"/>
                <w:szCs w:val="22"/>
                <w:lang w:eastAsia="en-US"/>
              </w:rPr>
            </w:pPr>
            <w:r w:rsidRPr="002B08F4">
              <w:rPr>
                <w:b/>
                <w:bCs/>
                <w:color w:val="000000"/>
                <w:sz w:val="22"/>
                <w:szCs w:val="22"/>
                <w:lang w:eastAsia="en-US"/>
              </w:rPr>
              <w:t>27</w:t>
            </w:r>
          </w:p>
        </w:tc>
        <w:tc>
          <w:tcPr>
            <w:tcW w:w="1940" w:type="dxa"/>
            <w:tcBorders>
              <w:top w:val="nil"/>
              <w:left w:val="single" w:sz="4" w:space="0" w:color="auto"/>
              <w:bottom w:val="single" w:sz="8" w:space="0" w:color="auto"/>
              <w:right w:val="single" w:sz="8" w:space="0" w:color="auto"/>
            </w:tcBorders>
            <w:shd w:val="clear" w:color="auto" w:fill="95B3D7" w:themeFill="accent1" w:themeFillTint="99"/>
          </w:tcPr>
          <w:p w:rsidR="00430E4A" w:rsidRPr="002B08F4" w:rsidRDefault="00430E4A" w:rsidP="00CF519A">
            <w:pPr>
              <w:pStyle w:val="NormalWeb"/>
              <w:spacing w:before="0" w:beforeAutospacing="0" w:after="0" w:afterAutospacing="0"/>
              <w:rPr>
                <w:b/>
                <w:bCs/>
                <w:color w:val="000000"/>
                <w:sz w:val="22"/>
                <w:szCs w:val="22"/>
                <w:lang w:eastAsia="en-US"/>
              </w:rPr>
            </w:pPr>
          </w:p>
        </w:tc>
      </w:tr>
    </w:tbl>
    <w:p w:rsidR="00430E4A" w:rsidRPr="002B08F4" w:rsidRDefault="00430E4A" w:rsidP="00430E4A">
      <w:pPr>
        <w:pStyle w:val="NormalWeb"/>
        <w:spacing w:before="0" w:beforeAutospacing="0" w:after="200" w:afterAutospacing="0"/>
        <w:rPr>
          <w:color w:val="000000"/>
          <w:sz w:val="22"/>
          <w:szCs w:val="22"/>
        </w:rPr>
      </w:pPr>
    </w:p>
    <w:p w:rsidR="00430E4A" w:rsidRPr="002B08F4" w:rsidRDefault="00430E4A" w:rsidP="00430E4A">
      <w:pPr>
        <w:pStyle w:val="NormalWeb"/>
        <w:spacing w:before="0" w:beforeAutospacing="0" w:after="200" w:afterAutospacing="0"/>
        <w:ind w:left="709"/>
        <w:jc w:val="both"/>
        <w:rPr>
          <w:rFonts w:eastAsia="Times New Roman"/>
          <w:color w:val="000000"/>
          <w:sz w:val="22"/>
          <w:szCs w:val="22"/>
        </w:rPr>
      </w:pPr>
      <w:r w:rsidRPr="002B08F4">
        <w:rPr>
          <w:color w:val="000000"/>
          <w:sz w:val="22"/>
          <w:szCs w:val="22"/>
        </w:rPr>
        <w:t xml:space="preserve">Ainsi toutes les communes (sauf </w:t>
      </w:r>
      <w:proofErr w:type="spellStart"/>
      <w:r w:rsidRPr="002B08F4">
        <w:rPr>
          <w:color w:val="000000"/>
          <w:sz w:val="22"/>
          <w:szCs w:val="22"/>
        </w:rPr>
        <w:t>Kergloff</w:t>
      </w:r>
      <w:proofErr w:type="spellEnd"/>
      <w:r w:rsidRPr="002B08F4">
        <w:rPr>
          <w:color w:val="000000"/>
          <w:sz w:val="22"/>
          <w:szCs w:val="22"/>
        </w:rPr>
        <w:t xml:space="preserve">) vont perdre au minimum un siège. </w:t>
      </w:r>
      <w:r w:rsidRPr="002B08F4">
        <w:rPr>
          <w:rFonts w:eastAsia="Times New Roman"/>
          <w:color w:val="000000"/>
          <w:sz w:val="22"/>
          <w:szCs w:val="22"/>
        </w:rPr>
        <w:t xml:space="preserve">Le nombre de sièges attribués aux communes étant inférieur au nombre de conseillers communautaires élus à l'occasion du précédent renouvellement général du conseil municipal, l’article L5211-6-2 prévoit que les membres du nouvel organe délibérant sont élus par le conseil municipal parmi les conseillers communautaires sortants, au scrutin de liste à un tour, sans adjonction ni suppression de noms et sans modification de l'ordre de présentation. </w:t>
      </w:r>
    </w:p>
    <w:p w:rsidR="00430E4A" w:rsidRPr="002B08F4" w:rsidRDefault="00430E4A" w:rsidP="00430E4A">
      <w:pPr>
        <w:ind w:left="709"/>
        <w:jc w:val="both"/>
        <w:rPr>
          <w:rFonts w:ascii="Times New Roman" w:hAnsi="Times New Roman" w:cs="Times New Roman"/>
        </w:rPr>
      </w:pPr>
      <w:r w:rsidRPr="002B08F4">
        <w:rPr>
          <w:rFonts w:ascii="Times New Roman" w:hAnsi="Times New Roman" w:cs="Times New Roman"/>
        </w:rPr>
        <w:t xml:space="preserve">Des élections doivent donc être organisées au sein des conseils municipaux des communes de plus de 1000 habitants en vue de désigner les nouveaux conseillers communautaires choisis parmi ceux élus au suffrage universel direct en mars dernier et dont certains, de fait, perdront leur siège par cette nouvelle élection. </w:t>
      </w:r>
    </w:p>
    <w:p w:rsidR="00430E4A" w:rsidRPr="002B08F4" w:rsidRDefault="00430E4A" w:rsidP="00430E4A">
      <w:pPr>
        <w:pStyle w:val="NormalWeb"/>
        <w:spacing w:before="0" w:beforeAutospacing="0" w:after="200" w:afterAutospacing="0"/>
        <w:ind w:left="709"/>
        <w:rPr>
          <w:color w:val="000000"/>
          <w:sz w:val="22"/>
          <w:szCs w:val="22"/>
        </w:rPr>
      </w:pPr>
    </w:p>
    <w:p w:rsidR="00430E4A" w:rsidRPr="002B08F4" w:rsidRDefault="00430E4A" w:rsidP="00430E4A">
      <w:pPr>
        <w:ind w:left="709"/>
        <w:jc w:val="both"/>
        <w:rPr>
          <w:rFonts w:ascii="Times New Roman" w:hAnsi="Times New Roman" w:cs="Times New Roman"/>
        </w:rPr>
      </w:pPr>
      <w:r w:rsidRPr="002B08F4">
        <w:rPr>
          <w:rFonts w:ascii="Times New Roman" w:hAnsi="Times New Roman" w:cs="Times New Roman"/>
        </w:rPr>
        <w:lastRenderedPageBreak/>
        <w:t>De plus, sur les 11 communes que va compter notre collectivité, six d’entre elles, dont le nombre d’habitants va de 99 à 795, ne seront plus représentées que par un conseiller. Cette situation soulève deux interrogations : l’une sur la sous-représentation d’une commune de 795 habitants par rapport à celle qui compte en 99, l’autre sur la disponibilité d’un seul élu, la plupart du temps le maire, pour s’impliquer dans les affaires communautaires dont on sait qu’elles sont de plus en plus nombreuses et complexes.</w:t>
      </w:r>
    </w:p>
    <w:p w:rsidR="00430E4A" w:rsidRPr="002B08F4" w:rsidRDefault="00430E4A" w:rsidP="00430E4A">
      <w:pPr>
        <w:pStyle w:val="NormalWeb"/>
        <w:spacing w:before="0" w:beforeAutospacing="0" w:after="200" w:afterAutospacing="0"/>
        <w:ind w:left="709"/>
        <w:jc w:val="both"/>
        <w:rPr>
          <w:color w:val="000000"/>
          <w:sz w:val="22"/>
          <w:szCs w:val="22"/>
        </w:rPr>
      </w:pPr>
    </w:p>
    <w:p w:rsidR="00430E4A" w:rsidRPr="002B08F4" w:rsidRDefault="00430E4A" w:rsidP="00430E4A">
      <w:pPr>
        <w:pStyle w:val="NormalWeb"/>
        <w:spacing w:before="0" w:beforeAutospacing="0" w:after="200" w:afterAutospacing="0"/>
        <w:ind w:left="709"/>
        <w:jc w:val="both"/>
        <w:rPr>
          <w:color w:val="000000"/>
          <w:sz w:val="22"/>
          <w:szCs w:val="22"/>
        </w:rPr>
      </w:pPr>
      <w:r w:rsidRPr="002B08F4">
        <w:rPr>
          <w:color w:val="000000"/>
          <w:sz w:val="22"/>
          <w:szCs w:val="22"/>
        </w:rPr>
        <w:t xml:space="preserve">Dans ce contexte, auquel de nombreux EPCI sont confrontés, une proposition de loi des sénateurs Richard et Sueur sur un nouvel accord local a été soumis à l’examen du Sénat et adopté le 22 octobre dernier. Elle doit être examinée par l’Assemblée Nationale le 18 décembre prochain. </w:t>
      </w:r>
    </w:p>
    <w:p w:rsidR="00430E4A" w:rsidRPr="002B08F4" w:rsidRDefault="00430E4A" w:rsidP="00430E4A">
      <w:pPr>
        <w:pStyle w:val="NormalWeb"/>
        <w:spacing w:before="0" w:beforeAutospacing="0" w:after="200" w:afterAutospacing="0"/>
        <w:ind w:left="709"/>
        <w:jc w:val="both"/>
        <w:rPr>
          <w:color w:val="000000"/>
          <w:sz w:val="22"/>
          <w:szCs w:val="22"/>
        </w:rPr>
      </w:pPr>
      <w:r w:rsidRPr="002B08F4">
        <w:rPr>
          <w:color w:val="000000"/>
          <w:sz w:val="22"/>
          <w:szCs w:val="22"/>
        </w:rPr>
        <w:t>Cette proposition de loi s’appuie sur les règles suivantes :</w:t>
      </w:r>
    </w:p>
    <w:p w:rsidR="00430E4A" w:rsidRPr="002B08F4" w:rsidRDefault="00430E4A" w:rsidP="00430E4A">
      <w:pPr>
        <w:pStyle w:val="NormalWeb"/>
        <w:spacing w:before="0" w:beforeAutospacing="0" w:after="200" w:afterAutospacing="0"/>
        <w:ind w:left="709"/>
        <w:jc w:val="both"/>
        <w:rPr>
          <w:sz w:val="22"/>
          <w:szCs w:val="22"/>
        </w:rPr>
      </w:pPr>
      <w:r w:rsidRPr="002B08F4">
        <w:rPr>
          <w:color w:val="000000"/>
          <w:sz w:val="22"/>
          <w:szCs w:val="22"/>
        </w:rPr>
        <w:t>La base du calcul correspond au  nombre de sièges par commune issu du 1° du IV de l’article L5211-6-1 du CGCT.</w:t>
      </w:r>
    </w:p>
    <w:p w:rsidR="00430E4A" w:rsidRPr="002B08F4" w:rsidRDefault="00430E4A" w:rsidP="00430E4A">
      <w:pPr>
        <w:pStyle w:val="NormalWeb"/>
        <w:spacing w:before="0" w:beforeAutospacing="0" w:after="200" w:afterAutospacing="0"/>
        <w:ind w:left="709"/>
        <w:jc w:val="both"/>
        <w:rPr>
          <w:b/>
          <w:color w:val="000000"/>
          <w:sz w:val="22"/>
          <w:szCs w:val="22"/>
        </w:rPr>
      </w:pPr>
      <w:r w:rsidRPr="002B08F4">
        <w:rPr>
          <w:b/>
          <w:color w:val="000000"/>
          <w:sz w:val="22"/>
          <w:szCs w:val="22"/>
        </w:rPr>
        <w:t>Dans le cadre d’un accord local :</w:t>
      </w:r>
    </w:p>
    <w:p w:rsidR="00430E4A" w:rsidRPr="002B08F4" w:rsidRDefault="00430E4A" w:rsidP="00430E4A">
      <w:pPr>
        <w:pStyle w:val="NormalWeb"/>
        <w:numPr>
          <w:ilvl w:val="0"/>
          <w:numId w:val="2"/>
        </w:numPr>
        <w:spacing w:before="0" w:beforeAutospacing="0" w:after="200" w:afterAutospacing="0"/>
        <w:ind w:left="709" w:firstLine="0"/>
        <w:jc w:val="both"/>
        <w:rPr>
          <w:color w:val="000000"/>
          <w:sz w:val="22"/>
          <w:szCs w:val="22"/>
        </w:rPr>
      </w:pPr>
      <w:r w:rsidRPr="002B08F4">
        <w:rPr>
          <w:color w:val="000000"/>
          <w:sz w:val="22"/>
          <w:szCs w:val="22"/>
        </w:rPr>
        <w:t>Le nombre de sièges issu du 1° du IV de l’article L5211-6-1 du CGCT peut être majoré au maximum de 25% ;</w:t>
      </w:r>
    </w:p>
    <w:p w:rsidR="00430E4A" w:rsidRPr="002B08F4" w:rsidRDefault="00430E4A" w:rsidP="00430E4A">
      <w:pPr>
        <w:pStyle w:val="NormalWeb"/>
        <w:numPr>
          <w:ilvl w:val="0"/>
          <w:numId w:val="2"/>
        </w:numPr>
        <w:spacing w:before="0" w:beforeAutospacing="0" w:after="200" w:afterAutospacing="0"/>
        <w:ind w:left="709" w:firstLine="0"/>
        <w:jc w:val="both"/>
        <w:rPr>
          <w:color w:val="000000"/>
          <w:sz w:val="22"/>
          <w:szCs w:val="22"/>
        </w:rPr>
      </w:pPr>
      <w:r w:rsidRPr="002B08F4">
        <w:rPr>
          <w:color w:val="000000"/>
          <w:sz w:val="22"/>
          <w:szCs w:val="22"/>
          <w:u w:val="single"/>
        </w:rPr>
        <w:t xml:space="preserve">il ne peut y avoir qu’un siège supplémentaire </w:t>
      </w:r>
      <w:r w:rsidRPr="002B08F4">
        <w:rPr>
          <w:color w:val="000000"/>
          <w:sz w:val="22"/>
          <w:szCs w:val="22"/>
        </w:rPr>
        <w:t xml:space="preserve">attribué aux communes ; </w:t>
      </w:r>
    </w:p>
    <w:p w:rsidR="00430E4A" w:rsidRPr="002B08F4" w:rsidRDefault="00430E4A" w:rsidP="00430E4A">
      <w:pPr>
        <w:pStyle w:val="NormalWeb"/>
        <w:numPr>
          <w:ilvl w:val="0"/>
          <w:numId w:val="2"/>
        </w:numPr>
        <w:spacing w:before="0" w:beforeAutospacing="0" w:after="200" w:afterAutospacing="0"/>
        <w:ind w:left="709" w:firstLine="0"/>
        <w:jc w:val="both"/>
        <w:rPr>
          <w:sz w:val="22"/>
          <w:szCs w:val="22"/>
        </w:rPr>
      </w:pPr>
      <w:r w:rsidRPr="002B08F4">
        <w:rPr>
          <w:color w:val="000000"/>
          <w:sz w:val="22"/>
          <w:szCs w:val="22"/>
        </w:rPr>
        <w:t xml:space="preserve">la part de sièges attribuée à une commune </w:t>
      </w:r>
      <w:r w:rsidRPr="002B08F4">
        <w:rPr>
          <w:color w:val="000000"/>
          <w:sz w:val="22"/>
          <w:szCs w:val="22"/>
          <w:u w:val="single"/>
        </w:rPr>
        <w:t>ne peut être diminuée de plus de 20%</w:t>
      </w:r>
      <w:r w:rsidRPr="002B08F4">
        <w:rPr>
          <w:color w:val="000000"/>
          <w:sz w:val="22"/>
          <w:szCs w:val="22"/>
        </w:rPr>
        <w:t xml:space="preserve"> par rapport à la part de la commune dans la population totale de la communauté.</w:t>
      </w:r>
    </w:p>
    <w:p w:rsidR="00430E4A" w:rsidRPr="002B08F4" w:rsidRDefault="00430E4A" w:rsidP="00430E4A">
      <w:pPr>
        <w:pStyle w:val="NormalWeb"/>
        <w:spacing w:before="0" w:beforeAutospacing="0" w:after="200" w:afterAutospacing="0"/>
        <w:ind w:left="709"/>
        <w:jc w:val="both"/>
        <w:rPr>
          <w:b/>
          <w:color w:val="000000"/>
          <w:sz w:val="22"/>
          <w:szCs w:val="22"/>
        </w:rPr>
      </w:pPr>
    </w:p>
    <w:p w:rsidR="00430E4A" w:rsidRPr="002B08F4" w:rsidRDefault="00430E4A" w:rsidP="00430E4A">
      <w:pPr>
        <w:pStyle w:val="NormalWeb"/>
        <w:spacing w:before="0" w:beforeAutospacing="0" w:after="200" w:afterAutospacing="0"/>
        <w:ind w:left="709"/>
        <w:jc w:val="both"/>
        <w:rPr>
          <w:b/>
          <w:color w:val="000000"/>
          <w:sz w:val="22"/>
          <w:szCs w:val="22"/>
        </w:rPr>
      </w:pPr>
      <w:r w:rsidRPr="002B08F4">
        <w:rPr>
          <w:b/>
          <w:color w:val="000000"/>
          <w:sz w:val="22"/>
          <w:szCs w:val="22"/>
        </w:rPr>
        <w:t>Dans le projet du nouvel accord local, le nombre de sièges au conseil dans le cadre du nouveau périmètre, 27, pourrait être majoré de 25%, portant donc ce nombre à 33. Il permettrait en outre d’offrir pour chaque commune une plus juste représentation proportionnelle au sein du conseil.</w:t>
      </w:r>
    </w:p>
    <w:p w:rsidR="00430E4A" w:rsidRPr="002B08F4" w:rsidRDefault="00430E4A" w:rsidP="00430E4A">
      <w:pPr>
        <w:pStyle w:val="NormalWeb"/>
        <w:spacing w:before="0" w:beforeAutospacing="0" w:after="200" w:afterAutospacing="0"/>
        <w:ind w:left="709"/>
        <w:jc w:val="both"/>
        <w:rPr>
          <w:b/>
          <w:color w:val="000000"/>
          <w:sz w:val="22"/>
          <w:szCs w:val="22"/>
        </w:rPr>
      </w:pPr>
      <w:r w:rsidRPr="002B08F4">
        <w:rPr>
          <w:b/>
          <w:color w:val="000000"/>
          <w:sz w:val="22"/>
          <w:szCs w:val="22"/>
        </w:rPr>
        <w:t>C’est pourquoi, Il est proposé au conseil municipal de surseoir à l’élection de nouveaux conseillers communautaires et de demander à l’Assemblée Nationale d’adopter en première lecture, la proposition de loi adopté par le Sénat le 22 octobre dernier, dans un souci de maintien de la stabilité des instances délibératives des EPCI concernés.</w:t>
      </w:r>
    </w:p>
    <w:p w:rsidR="00430E4A" w:rsidRPr="002B08F4" w:rsidRDefault="00430E4A" w:rsidP="00430E4A">
      <w:pPr>
        <w:pStyle w:val="NormalWeb"/>
        <w:spacing w:before="0" w:beforeAutospacing="0" w:after="200" w:afterAutospacing="0"/>
        <w:jc w:val="both"/>
        <w:rPr>
          <w:color w:val="000000"/>
          <w:sz w:val="22"/>
          <w:szCs w:val="22"/>
        </w:rPr>
      </w:pPr>
    </w:p>
    <w:p w:rsidR="00430E4A" w:rsidRDefault="00430E4A" w:rsidP="00430E4A">
      <w:pPr>
        <w:widowControl w:val="0"/>
        <w:kinsoku w:val="0"/>
        <w:autoSpaceDN w:val="0"/>
        <w:spacing w:after="0" w:line="240" w:lineRule="auto"/>
        <w:ind w:left="709"/>
        <w:jc w:val="both"/>
        <w:rPr>
          <w:rFonts w:ascii="Times New Roman" w:eastAsia="Times New Roman" w:hAnsi="Times New Roman" w:cs="Times New Roman"/>
          <w:spacing w:val="7"/>
          <w:lang w:eastAsia="fr-FR"/>
        </w:rPr>
      </w:pPr>
      <w:r>
        <w:rPr>
          <w:rFonts w:ascii="Times New Roman" w:eastAsia="Times New Roman" w:hAnsi="Times New Roman" w:cs="Times New Roman"/>
          <w:spacing w:val="7"/>
          <w:lang w:eastAsia="fr-FR"/>
        </w:rPr>
        <w:t xml:space="preserve">Le Conseil Municipal, après en avoir délibéré et à l’unanimité décide de </w:t>
      </w:r>
    </w:p>
    <w:p w:rsidR="00430E4A" w:rsidRDefault="00430E4A" w:rsidP="00430E4A">
      <w:pPr>
        <w:widowControl w:val="0"/>
        <w:kinsoku w:val="0"/>
        <w:autoSpaceDN w:val="0"/>
        <w:spacing w:after="0" w:line="240" w:lineRule="auto"/>
        <w:ind w:left="709"/>
        <w:jc w:val="both"/>
        <w:rPr>
          <w:rFonts w:ascii="Times New Roman" w:eastAsia="Times New Roman" w:hAnsi="Times New Roman" w:cs="Times New Roman"/>
          <w:spacing w:val="7"/>
          <w:lang w:eastAsia="fr-FR"/>
        </w:rPr>
      </w:pPr>
    </w:p>
    <w:p w:rsidR="00430E4A" w:rsidRDefault="00430E4A" w:rsidP="00430E4A">
      <w:pPr>
        <w:pStyle w:val="NormalWeb"/>
        <w:spacing w:before="0" w:beforeAutospacing="0" w:after="200" w:afterAutospacing="0"/>
        <w:ind w:left="709"/>
        <w:jc w:val="both"/>
        <w:rPr>
          <w:b/>
          <w:color w:val="000000"/>
          <w:sz w:val="22"/>
          <w:szCs w:val="22"/>
        </w:rPr>
      </w:pPr>
      <w:r>
        <w:rPr>
          <w:b/>
          <w:color w:val="000000"/>
          <w:sz w:val="22"/>
          <w:szCs w:val="22"/>
        </w:rPr>
        <w:t>S</w:t>
      </w:r>
      <w:r w:rsidRPr="002B08F4">
        <w:rPr>
          <w:b/>
          <w:color w:val="000000"/>
          <w:sz w:val="22"/>
          <w:szCs w:val="22"/>
        </w:rPr>
        <w:t xml:space="preserve">urseoir à l’élection de nouveaux conseillers communautaires </w:t>
      </w:r>
      <w:r>
        <w:rPr>
          <w:b/>
          <w:color w:val="000000"/>
          <w:sz w:val="22"/>
          <w:szCs w:val="22"/>
        </w:rPr>
        <w:t>et demande</w:t>
      </w:r>
      <w:r w:rsidRPr="002B08F4">
        <w:rPr>
          <w:b/>
          <w:color w:val="000000"/>
          <w:sz w:val="22"/>
          <w:szCs w:val="22"/>
        </w:rPr>
        <w:t xml:space="preserve"> à l’Assemblée Nationale d’adopter en première lecture, la proposition de loi </w:t>
      </w:r>
      <w:proofErr w:type="gramStart"/>
      <w:r w:rsidRPr="002B08F4">
        <w:rPr>
          <w:b/>
          <w:color w:val="000000"/>
          <w:sz w:val="22"/>
          <w:szCs w:val="22"/>
        </w:rPr>
        <w:t>adopté</w:t>
      </w:r>
      <w:proofErr w:type="gramEnd"/>
      <w:r w:rsidRPr="002B08F4">
        <w:rPr>
          <w:b/>
          <w:color w:val="000000"/>
          <w:sz w:val="22"/>
          <w:szCs w:val="22"/>
        </w:rPr>
        <w:t xml:space="preserve"> par le Sénat le 22 octobre dernier, dans un souci de maintien de la stabilité des instances délibératives des EPCI concernés.</w:t>
      </w:r>
      <w:bookmarkStart w:id="0" w:name="_GoBack"/>
      <w:bookmarkEnd w:id="0"/>
    </w:p>
    <w:sectPr w:rsidR="00430E4A" w:rsidSect="000E65C1">
      <w:pgSz w:w="11906" w:h="16838"/>
      <w:pgMar w:top="1417" w:right="141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F1D"/>
    <w:multiLevelType w:val="hybridMultilevel"/>
    <w:tmpl w:val="11403936"/>
    <w:lvl w:ilvl="0" w:tplc="A306B2A6">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nsid w:val="42824276"/>
    <w:multiLevelType w:val="hybridMultilevel"/>
    <w:tmpl w:val="45183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4A"/>
    <w:rsid w:val="00276B54"/>
    <w:rsid w:val="00430E4A"/>
    <w:rsid w:val="00C14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E4A"/>
    <w:pPr>
      <w:spacing w:after="160" w:line="259" w:lineRule="auto"/>
      <w:ind w:left="720"/>
      <w:contextualSpacing/>
    </w:pPr>
  </w:style>
  <w:style w:type="paragraph" w:styleId="NormalWeb">
    <w:name w:val="Normal (Web)"/>
    <w:basedOn w:val="Normal"/>
    <w:uiPriority w:val="99"/>
    <w:unhideWhenUsed/>
    <w:rsid w:val="00430E4A"/>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E4A"/>
    <w:pPr>
      <w:spacing w:after="160" w:line="259" w:lineRule="auto"/>
      <w:ind w:left="720"/>
      <w:contextualSpacing/>
    </w:pPr>
  </w:style>
  <w:style w:type="paragraph" w:styleId="NormalWeb">
    <w:name w:val="Normal (Web)"/>
    <w:basedOn w:val="Normal"/>
    <w:uiPriority w:val="99"/>
    <w:unhideWhenUsed/>
    <w:rsid w:val="00430E4A"/>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1CC0-CA6C-43FA-BD41-93C9CA34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1384</Words>
  <Characters>7615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2</cp:revision>
  <dcterms:created xsi:type="dcterms:W3CDTF">2015-01-05T09:05:00Z</dcterms:created>
  <dcterms:modified xsi:type="dcterms:W3CDTF">2015-01-05T09:12:00Z</dcterms:modified>
</cp:coreProperties>
</file>